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05BB4E8A"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2D6CE965"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46428E6C"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025EB10F"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6B21FE6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7DC0BF8D" w14:textId="77777777" w:rsidR="001C460B" w:rsidRDefault="00710290" w:rsidP="006F19E3">
            <w:pPr>
              <w:ind w:left="113" w:right="113"/>
              <w:rPr>
                <w:rFonts w:cs="Arial"/>
                <w:color w:val="008576"/>
                <w:sz w:val="80"/>
                <w:szCs w:val="80"/>
              </w:rPr>
            </w:pPr>
            <w:r>
              <w:rPr>
                <w:rFonts w:cs="Arial"/>
                <w:color w:val="008576"/>
                <w:sz w:val="80"/>
                <w:szCs w:val="80"/>
              </w:rPr>
              <w:t>DCP 306</w:t>
            </w:r>
          </w:p>
          <w:p w14:paraId="668176A0" w14:textId="77777777" w:rsidR="00D93A95" w:rsidRDefault="00710290" w:rsidP="00D36FC3">
            <w:pPr>
              <w:ind w:left="113" w:right="113"/>
              <w:rPr>
                <w:rFonts w:cs="Arial"/>
                <w:color w:val="008000"/>
                <w:sz w:val="24"/>
              </w:rPr>
            </w:pPr>
            <w:r>
              <w:rPr>
                <w:rFonts w:cs="Arial"/>
                <w:color w:val="008000"/>
                <w:sz w:val="48"/>
                <w:szCs w:val="48"/>
              </w:rPr>
              <w:t>Treatment of Ofgem Licence Fees within the PCDM</w:t>
            </w:r>
            <w:r w:rsidR="001C460B" w:rsidRPr="001C460B">
              <w:rPr>
                <w:rFonts w:cs="Arial"/>
                <w:color w:val="008000"/>
                <w:sz w:val="48"/>
                <w:szCs w:val="48"/>
              </w:rPr>
              <w:t xml:space="preserve"> </w:t>
            </w:r>
          </w:p>
          <w:p w14:paraId="0FB0D722" w14:textId="77777777" w:rsidR="001C460B" w:rsidRDefault="001C460B" w:rsidP="00E25A24">
            <w:pPr>
              <w:ind w:left="113" w:right="113"/>
              <w:rPr>
                <w:rFonts w:cs="Arial"/>
                <w:i/>
                <w:color w:val="00B274"/>
                <w:sz w:val="24"/>
              </w:rPr>
            </w:pPr>
          </w:p>
          <w:p w14:paraId="0E39E243" w14:textId="77777777" w:rsidR="00D93A95" w:rsidRPr="00EB32BB" w:rsidRDefault="00857BF6" w:rsidP="001C460B">
            <w:pPr>
              <w:ind w:right="113"/>
              <w:rPr>
                <w:rFonts w:cs="Arial"/>
                <w:i/>
                <w:color w:val="00B274"/>
                <w:sz w:val="24"/>
              </w:rPr>
            </w:pPr>
            <w:r>
              <w:rPr>
                <w:rFonts w:cs="Arial"/>
                <w:i/>
                <w:color w:val="00B274"/>
                <w:sz w:val="24"/>
              </w:rPr>
              <w:t>R</w:t>
            </w:r>
            <w:r w:rsidR="00370895">
              <w:rPr>
                <w:rFonts w:cs="Arial"/>
                <w:i/>
                <w:color w:val="00B274"/>
                <w:sz w:val="24"/>
              </w:rPr>
              <w:t>aised</w:t>
            </w:r>
            <w:r w:rsidR="001C460B">
              <w:rPr>
                <w:rFonts w:cs="Arial"/>
                <w:i/>
                <w:color w:val="00B274"/>
                <w:sz w:val="24"/>
              </w:rPr>
              <w:t xml:space="preserve"> on the </w:t>
            </w:r>
            <w:r w:rsidR="00710290">
              <w:rPr>
                <w:rFonts w:cs="Arial"/>
                <w:i/>
                <w:color w:val="00B274"/>
                <w:sz w:val="24"/>
              </w:rPr>
              <w:t>12 July 2017</w:t>
            </w:r>
            <w:r w:rsidR="00207680">
              <w:rPr>
                <w:rFonts w:cs="Arial"/>
                <w:i/>
                <w:color w:val="00B274"/>
                <w:sz w:val="24"/>
              </w:rPr>
              <w:t xml:space="preserve"> as a</w:t>
            </w:r>
            <w:r w:rsidR="001C460B">
              <w:rPr>
                <w:rFonts w:cs="Arial"/>
                <w:i/>
                <w:color w:val="00B274"/>
                <w:sz w:val="24"/>
              </w:rPr>
              <w:t xml:space="preserve">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561A11FF" w14:textId="77777777" w:rsidTr="00C4569B">
              <w:trPr>
                <w:trHeight w:val="820"/>
              </w:trPr>
              <w:tc>
                <w:tcPr>
                  <w:tcW w:w="2075" w:type="dxa"/>
                  <w:shd w:val="clear" w:color="auto" w:fill="auto"/>
                  <w:vAlign w:val="center"/>
                </w:tcPr>
                <w:p w14:paraId="5DA9CC93" w14:textId="77777777" w:rsidR="00F770DC" w:rsidRPr="000E1892" w:rsidRDefault="00F770DC" w:rsidP="005D12F7">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9A5BC45" w14:textId="77777777" w:rsidTr="00F770DC">
              <w:trPr>
                <w:trHeight w:val="802"/>
              </w:trPr>
              <w:tc>
                <w:tcPr>
                  <w:tcW w:w="2075" w:type="dxa"/>
                  <w:shd w:val="clear" w:color="auto" w:fill="0096D7"/>
                  <w:vAlign w:val="center"/>
                </w:tcPr>
                <w:p w14:paraId="4131415F" w14:textId="77777777" w:rsidR="00F770DC" w:rsidRPr="00C4569B" w:rsidRDefault="00F770DC" w:rsidP="005D12F7">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3390987" w14:textId="77777777" w:rsidTr="00F770DC">
              <w:trPr>
                <w:trHeight w:val="800"/>
              </w:trPr>
              <w:tc>
                <w:tcPr>
                  <w:tcW w:w="2075" w:type="dxa"/>
                  <w:shd w:val="clear" w:color="auto" w:fill="auto"/>
                  <w:vAlign w:val="center"/>
                </w:tcPr>
                <w:p w14:paraId="063465FB" w14:textId="77777777" w:rsidR="00F770DC" w:rsidRPr="00F770DC" w:rsidRDefault="0007537E" w:rsidP="005D12F7">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8C90E15" w14:textId="77777777" w:rsidTr="00C4569B">
              <w:trPr>
                <w:trHeight w:val="795"/>
              </w:trPr>
              <w:tc>
                <w:tcPr>
                  <w:tcW w:w="2075" w:type="dxa"/>
                  <w:shd w:val="clear" w:color="auto" w:fill="FFFFFF"/>
                  <w:vAlign w:val="center"/>
                </w:tcPr>
                <w:p w14:paraId="5E2F547C" w14:textId="77777777" w:rsidR="00F770DC" w:rsidRPr="00881D23" w:rsidRDefault="00F770DC" w:rsidP="005D12F7">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42E3131" w14:textId="77777777" w:rsidR="006F19E3" w:rsidRPr="00EB32BB" w:rsidRDefault="006F19E3" w:rsidP="00FE4A41">
            <w:pPr>
              <w:spacing w:line="240" w:lineRule="auto"/>
              <w:ind w:left="28" w:right="28"/>
              <w:rPr>
                <w:rFonts w:cs="Arial"/>
                <w:color w:val="008576"/>
                <w:szCs w:val="20"/>
              </w:rPr>
            </w:pPr>
          </w:p>
        </w:tc>
      </w:tr>
      <w:tr w:rsidR="006F19E3" w:rsidRPr="00EB32BB" w14:paraId="256D1286"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22A0BA4"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720D520A" w14:textId="77777777" w:rsidR="001C460B" w:rsidRDefault="007C6041" w:rsidP="001C460B">
            <w:pPr>
              <w:ind w:left="113" w:right="113"/>
              <w:rPr>
                <w:sz w:val="24"/>
              </w:rPr>
            </w:pPr>
            <w:r>
              <w:rPr>
                <w:sz w:val="24"/>
              </w:rPr>
              <w:t xml:space="preserve">DCP </w:t>
            </w:r>
            <w:r w:rsidR="00710290">
              <w:rPr>
                <w:sz w:val="24"/>
              </w:rPr>
              <w:t>306 seeks to increase the cost reflectivity of the Price Control Disaggregation Model by directly allocating the Ofgem licence fee to an appropriate network tier for the calculation of the Opex allocation driver.</w:t>
            </w:r>
          </w:p>
          <w:p w14:paraId="04114412" w14:textId="77777777" w:rsidR="006F19E3" w:rsidRPr="00EB32BB" w:rsidRDefault="00E25A24" w:rsidP="001C460B">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710290">
              <w:rPr>
                <w:sz w:val="24"/>
                <w:szCs w:val="16"/>
              </w:rPr>
              <w:t>306</w:t>
            </w:r>
            <w:r>
              <w:rPr>
                <w:sz w:val="24"/>
                <w:szCs w:val="16"/>
              </w:rPr>
              <w:t>.</w:t>
            </w:r>
          </w:p>
        </w:tc>
      </w:tr>
      <w:tr w:rsidR="006F19E3" w:rsidRPr="00EB32BB" w14:paraId="6ACAFF6C"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46C6A0E" w14:textId="77777777" w:rsidR="006F19E3" w:rsidRPr="00EB32BB" w:rsidRDefault="00EB5FE7" w:rsidP="006F19E3">
            <w:pPr>
              <w:ind w:firstLine="9"/>
              <w:jc w:val="center"/>
              <w:rPr>
                <w:rFonts w:cs="Arial"/>
              </w:rPr>
            </w:pPr>
            <w:r>
              <w:rPr>
                <w:rFonts w:cs="Arial"/>
                <w:noProof/>
              </w:rPr>
              <w:drawing>
                <wp:inline distT="0" distB="0" distL="0" distR="0" wp14:anchorId="50213960" wp14:editId="25A2E654">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756ADECF" wp14:editId="1FF2912E">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E2D90F3"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251E8967" w14:textId="0FE74AA9" w:rsidR="00F770DC" w:rsidRDefault="00F770DC" w:rsidP="009D28E8">
            <w:pPr>
              <w:pStyle w:val="BodyText3"/>
              <w:numPr>
                <w:ilvl w:val="0"/>
                <w:numId w:val="39"/>
              </w:numPr>
              <w:spacing w:before="0" w:after="0" w:line="240" w:lineRule="auto"/>
              <w:ind w:right="113"/>
              <w:rPr>
                <w:rFonts w:cs="Arial"/>
              </w:rPr>
            </w:pPr>
            <w:r w:rsidRPr="00EB32BB">
              <w:rPr>
                <w:rFonts w:cs="Arial"/>
              </w:rPr>
              <w:t xml:space="preserve">proceed to </w:t>
            </w:r>
            <w:r w:rsidR="002249A0">
              <w:rPr>
                <w:rFonts w:cs="Arial"/>
              </w:rPr>
              <w:t>a second</w:t>
            </w:r>
            <w:r w:rsidR="005B33F9">
              <w:rPr>
                <w:rFonts w:cs="Arial"/>
              </w:rPr>
              <w:t xml:space="preserve"> </w:t>
            </w:r>
            <w:r w:rsidRPr="00EB32BB">
              <w:rPr>
                <w:rFonts w:cs="Arial"/>
              </w:rPr>
              <w:t>Consultation</w:t>
            </w:r>
          </w:p>
          <w:p w14:paraId="1F8A0711" w14:textId="5CACD4B2"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r w:rsidR="005B33F9" w:rsidRPr="005B33F9">
              <w:rPr>
                <w:rFonts w:cs="Times New Roman"/>
                <w:b/>
                <w:bCs w:val="0"/>
                <w:iCs w:val="0"/>
                <w:color w:val="auto"/>
                <w:sz w:val="24"/>
                <w:szCs w:val="16"/>
                <w:highlight w:val="yellow"/>
              </w:rPr>
              <w:t>XX XXX XX</w:t>
            </w:r>
            <w:r w:rsidR="006248E3" w:rsidRPr="00BD500A">
              <w:rPr>
                <w:rFonts w:cs="Times New Roman"/>
                <w:b/>
                <w:bCs w:val="0"/>
                <w:iCs w:val="0"/>
                <w:color w:val="auto"/>
                <w:sz w:val="24"/>
                <w:szCs w:val="16"/>
              </w:rPr>
              <w:t>.</w:t>
            </w:r>
          </w:p>
          <w:p w14:paraId="0D3DD811" w14:textId="77777777" w:rsidR="00C35A97" w:rsidRPr="00C35A97" w:rsidRDefault="001C460B" w:rsidP="00C35A97">
            <w:pPr>
              <w:spacing w:line="240" w:lineRule="auto"/>
              <w:rPr>
                <w:sz w:val="24"/>
              </w:rPr>
            </w:pPr>
            <w:r>
              <w:rPr>
                <w:sz w:val="24"/>
              </w:rPr>
              <w:t xml:space="preserve">DCP </w:t>
            </w:r>
            <w:r w:rsidR="00D3651A">
              <w:rPr>
                <w:sz w:val="24"/>
              </w:rPr>
              <w:t>306</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w:t>
            </w:r>
            <w:r w:rsidR="00E25A24">
              <w:rPr>
                <w:sz w:val="24"/>
              </w:rPr>
              <w:t xml:space="preserve"> change</w:t>
            </w:r>
            <w:r w:rsidR="00C35A97" w:rsidRPr="00C35A97">
              <w:rPr>
                <w:sz w:val="24"/>
              </w:rPr>
              <w:t>.</w:t>
            </w:r>
          </w:p>
          <w:p w14:paraId="1896C331"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4468DDB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8B5BD29"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37B84D6E" wp14:editId="347F45E2">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5">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F26892A" w14:textId="77777777" w:rsidR="006F19E3" w:rsidRPr="00EB32BB" w:rsidRDefault="00370895" w:rsidP="005F75C4">
            <w:pPr>
              <w:ind w:left="113" w:right="113"/>
              <w:rPr>
                <w:rFonts w:cs="Arial"/>
              </w:rPr>
            </w:pPr>
            <w:r>
              <w:rPr>
                <w:sz w:val="24"/>
              </w:rPr>
              <w:t>Impacted Parties</w:t>
            </w:r>
            <w:r w:rsidR="00231812">
              <w:rPr>
                <w:sz w:val="24"/>
              </w:rPr>
              <w:t xml:space="preserve">: </w:t>
            </w:r>
            <w:r w:rsidR="00710290">
              <w:rPr>
                <w:sz w:val="24"/>
              </w:rPr>
              <w:t>DNOs/IDNOs</w:t>
            </w:r>
            <w:r w:rsidR="00295499">
              <w:rPr>
                <w:sz w:val="24"/>
              </w:rPr>
              <w:t xml:space="preserve"> </w:t>
            </w:r>
          </w:p>
        </w:tc>
      </w:tr>
      <w:tr w:rsidR="005D1C6B" w:rsidRPr="00EB32BB" w14:paraId="2188A4A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60F4819"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11A8CF8A" wp14:editId="142E8BD8">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5">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34D8F8C" w14:textId="2B64E1E4" w:rsidR="005D1C6B" w:rsidRPr="00EB32BB" w:rsidRDefault="005D1C6B" w:rsidP="005D1C6B">
            <w:pPr>
              <w:ind w:left="113" w:right="113"/>
              <w:rPr>
                <w:rFonts w:cs="Arial"/>
              </w:rPr>
            </w:pPr>
            <w:r>
              <w:rPr>
                <w:sz w:val="24"/>
              </w:rPr>
              <w:t>Impacted Clauses:</w:t>
            </w:r>
            <w:r w:rsidR="001C460B">
              <w:rPr>
                <w:sz w:val="24"/>
              </w:rPr>
              <w:t xml:space="preserve">  </w:t>
            </w:r>
            <w:r w:rsidR="00B74667">
              <w:rPr>
                <w:sz w:val="24"/>
              </w:rPr>
              <w:t>Schedule XX</w:t>
            </w:r>
            <w:r w:rsidR="006E1566">
              <w:rPr>
                <w:rStyle w:val="FootnoteReference"/>
                <w:sz w:val="24"/>
              </w:rPr>
              <w:footnoteReference w:id="1"/>
            </w:r>
            <w:r w:rsidR="00710290">
              <w:rPr>
                <w:sz w:val="24"/>
              </w:rPr>
              <w:t xml:space="preserve">, Clause </w:t>
            </w:r>
            <w:r w:rsidR="00B74667">
              <w:rPr>
                <w:sz w:val="24"/>
              </w:rPr>
              <w:t>6 table and a new clause</w:t>
            </w:r>
            <w:r w:rsidR="00E579F6">
              <w:rPr>
                <w:sz w:val="24"/>
              </w:rPr>
              <w:t xml:space="preserve"> 11B</w:t>
            </w:r>
          </w:p>
        </w:tc>
      </w:tr>
    </w:tbl>
    <w:p w14:paraId="1220AC3A" w14:textId="77777777" w:rsidR="00231812" w:rsidRDefault="00231812" w:rsidP="005B378E">
      <w:pPr>
        <w:rPr>
          <w:rFonts w:cs="Arial"/>
        </w:rPr>
      </w:pPr>
    </w:p>
    <w:p w14:paraId="0A7BEA97" w14:textId="77777777" w:rsidR="00231812" w:rsidRDefault="00231812" w:rsidP="005B378E">
      <w:pPr>
        <w:rPr>
          <w:rFonts w:cs="Arial"/>
        </w:rPr>
      </w:pPr>
    </w:p>
    <w:p w14:paraId="4EE35B33" w14:textId="77777777" w:rsidR="00231812" w:rsidRDefault="00231812" w:rsidP="005B378E">
      <w:pPr>
        <w:rPr>
          <w:rFonts w:cs="Arial"/>
        </w:rPr>
      </w:pPr>
    </w:p>
    <w:p w14:paraId="032EA426" w14:textId="77777777" w:rsidR="005079E0" w:rsidRPr="00EB32BB" w:rsidRDefault="00546EF7" w:rsidP="005B378E">
      <w:pPr>
        <w:rPr>
          <w:rFonts w:cs="Arial"/>
        </w:rPr>
      </w:pPr>
      <w:r>
        <w:rPr>
          <w:noProof/>
        </w:rPr>
        <mc:AlternateContent>
          <mc:Choice Requires="wps">
            <w:drawing>
              <wp:anchor distT="0" distB="0" distL="114300" distR="114300" simplePos="0" relativeHeight="251657216" behindDoc="0" locked="0" layoutInCell="1" allowOverlap="1" wp14:anchorId="58B7A579" wp14:editId="18540227">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41C8AF2F" w14:textId="77777777" w:rsidR="00F91525" w:rsidRPr="009A03A4" w:rsidRDefault="00F91525"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4AF57FB5" w14:textId="77777777" w:rsidR="00F91525" w:rsidRDefault="00F91525"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4731103B" w14:textId="77777777" w:rsidR="00F91525" w:rsidRDefault="00F91525" w:rsidP="006F19E3">
                            <w:pPr>
                              <w:pStyle w:val="BodyText"/>
                              <w:tabs>
                                <w:tab w:val="left" w:pos="9639"/>
                              </w:tabs>
                              <w:spacing w:after="60" w:line="240" w:lineRule="auto"/>
                              <w:ind w:left="-57" w:right="-54"/>
                              <w:rPr>
                                <w:rFonts w:cs="Arial"/>
                                <w:i/>
                                <w:color w:val="00B274"/>
                              </w:rPr>
                            </w:pPr>
                          </w:p>
                          <w:p w14:paraId="40487A3B" w14:textId="77777777" w:rsidR="00F91525" w:rsidRPr="009A03A4" w:rsidRDefault="00F91525"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3785F842" w14:textId="77777777" w:rsidR="00F91525" w:rsidRPr="00623022" w:rsidRDefault="00F91525"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w:pict>
              <v:shapetype w14:anchorId="58B7A579"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41C8AF2F" w14:textId="77777777" w:rsidR="00F91525" w:rsidRPr="009A03A4" w:rsidRDefault="00F91525"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4AF57FB5" w14:textId="77777777" w:rsidR="00F91525" w:rsidRDefault="00F91525"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4731103B" w14:textId="77777777" w:rsidR="00F91525" w:rsidRDefault="00F91525" w:rsidP="006F19E3">
                      <w:pPr>
                        <w:pStyle w:val="BodyText"/>
                        <w:tabs>
                          <w:tab w:val="left" w:pos="9639"/>
                        </w:tabs>
                        <w:spacing w:after="60" w:line="240" w:lineRule="auto"/>
                        <w:ind w:left="-57" w:right="-54"/>
                        <w:rPr>
                          <w:rFonts w:cs="Arial"/>
                          <w:i/>
                          <w:color w:val="00B274"/>
                        </w:rPr>
                      </w:pPr>
                    </w:p>
                    <w:p w14:paraId="40487A3B" w14:textId="77777777" w:rsidR="00F91525" w:rsidRPr="009A03A4" w:rsidRDefault="00F91525"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3785F842" w14:textId="77777777" w:rsidR="00F91525" w:rsidRPr="00623022" w:rsidRDefault="00F91525"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5F840069"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F5BF982" w14:textId="77777777" w:rsidR="00F10E14" w:rsidRPr="00EB32BB" w:rsidRDefault="00F10E14" w:rsidP="00AF7744">
            <w:pPr>
              <w:pStyle w:val="Contents02"/>
              <w:rPr>
                <w:noProof/>
              </w:rPr>
            </w:pPr>
            <w:r w:rsidRPr="00EB32BB">
              <w:rPr>
                <w:noProof/>
              </w:rPr>
              <w:lastRenderedPageBreak/>
              <w:t>Contents</w:t>
            </w:r>
          </w:p>
          <w:p w14:paraId="4B6FFE20" w14:textId="0175B9A3" w:rsidR="00A81649" w:rsidRDefault="00985B9D" w:rsidP="00A81649">
            <w:pPr>
              <w:pStyle w:val="TOC1"/>
              <w:framePr w:wrap="around"/>
              <w:rPr>
                <w:rFonts w:asciiTheme="minorHAnsi" w:eastAsiaTheme="minorEastAsia" w:hAnsiTheme="minorHAnsi" w:cstheme="minorBidi"/>
                <w:b w:val="0"/>
                <w:bCs w:val="0"/>
                <w:color w:val="auto"/>
                <w:sz w:val="22"/>
                <w:szCs w:val="22"/>
              </w:rPr>
            </w:pPr>
            <w:r w:rsidRPr="00EB32BB">
              <w:fldChar w:fldCharType="begin"/>
            </w:r>
            <w:r w:rsidR="00F10E14" w:rsidRPr="00EB32BB">
              <w:instrText xml:space="preserve"> TOC \o "1-1" </w:instrText>
            </w:r>
            <w:r w:rsidRPr="00EB32BB">
              <w:fldChar w:fldCharType="separate"/>
            </w:r>
            <w:r w:rsidR="00A81649">
              <w:t>1.</w:t>
            </w:r>
            <w:r w:rsidR="00A81649">
              <w:rPr>
                <w:rFonts w:asciiTheme="minorHAnsi" w:eastAsiaTheme="minorEastAsia" w:hAnsiTheme="minorHAnsi" w:cstheme="minorBidi"/>
                <w:b w:val="0"/>
                <w:bCs w:val="0"/>
                <w:color w:val="auto"/>
                <w:sz w:val="22"/>
                <w:szCs w:val="22"/>
              </w:rPr>
              <w:tab/>
            </w:r>
            <w:r w:rsidR="00A81649">
              <w:t>Summary</w:t>
            </w:r>
            <w:r w:rsidR="00A81649">
              <w:tab/>
            </w:r>
            <w:r w:rsidR="00A81649">
              <w:fldChar w:fldCharType="begin"/>
            </w:r>
            <w:r w:rsidR="00A81649">
              <w:instrText xml:space="preserve"> PAGEREF _Toc492567083 \h </w:instrText>
            </w:r>
            <w:r w:rsidR="00A81649">
              <w:fldChar w:fldCharType="separate"/>
            </w:r>
            <w:r w:rsidR="002B1D49">
              <w:t>3</w:t>
            </w:r>
            <w:r w:rsidR="00A81649">
              <w:fldChar w:fldCharType="end"/>
            </w:r>
          </w:p>
          <w:p w14:paraId="2274DEBA" w14:textId="0E9CBD9B" w:rsidR="00A81649" w:rsidRDefault="00A81649" w:rsidP="00A8164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_Toc492567084 \h </w:instrText>
            </w:r>
            <w:r>
              <w:fldChar w:fldCharType="separate"/>
            </w:r>
            <w:r w:rsidR="002B1D49">
              <w:t>4</w:t>
            </w:r>
            <w:r>
              <w:fldChar w:fldCharType="end"/>
            </w:r>
          </w:p>
          <w:p w14:paraId="78915BE2" w14:textId="7F8C73DC" w:rsidR="00A81649" w:rsidRDefault="00A81649" w:rsidP="00A8164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_Toc492567085 \h </w:instrText>
            </w:r>
            <w:r>
              <w:fldChar w:fldCharType="separate"/>
            </w:r>
            <w:r w:rsidR="002B1D49">
              <w:t>4</w:t>
            </w:r>
            <w:r>
              <w:fldChar w:fldCharType="end"/>
            </w:r>
          </w:p>
          <w:p w14:paraId="7B7EF6E4" w14:textId="7265AD7D" w:rsidR="00A81649" w:rsidRDefault="00A81649" w:rsidP="00A8164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_Toc492567086 \h </w:instrText>
            </w:r>
            <w:r>
              <w:fldChar w:fldCharType="separate"/>
            </w:r>
            <w:r w:rsidR="002B1D49">
              <w:t>5</w:t>
            </w:r>
            <w:r>
              <w:fldChar w:fldCharType="end"/>
            </w:r>
          </w:p>
          <w:p w14:paraId="50D28A87" w14:textId="1E071EB9" w:rsidR="00A81649" w:rsidRDefault="00A81649" w:rsidP="00A8164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_Toc492567087 \h </w:instrText>
            </w:r>
            <w:r>
              <w:fldChar w:fldCharType="separate"/>
            </w:r>
            <w:r w:rsidR="002B1D49">
              <w:t>5</w:t>
            </w:r>
            <w:r>
              <w:fldChar w:fldCharType="end"/>
            </w:r>
          </w:p>
          <w:p w14:paraId="38194711" w14:textId="30FC6557" w:rsidR="00A81649" w:rsidRDefault="00A81649" w:rsidP="00A81649">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_Toc492567088 \h </w:instrText>
            </w:r>
            <w:r>
              <w:fldChar w:fldCharType="separate"/>
            </w:r>
            <w:r w:rsidR="002B1D49">
              <w:t>6</w:t>
            </w:r>
            <w:r>
              <w:fldChar w:fldCharType="end"/>
            </w:r>
          </w:p>
          <w:p w14:paraId="3CC831D7" w14:textId="71A919F5" w:rsidR="00A81649" w:rsidRDefault="00A81649" w:rsidP="00A81649">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_Toc492567089 \h </w:instrText>
            </w:r>
            <w:r>
              <w:fldChar w:fldCharType="separate"/>
            </w:r>
            <w:r w:rsidR="002B1D49">
              <w:t>6</w:t>
            </w:r>
            <w:r>
              <w:fldChar w:fldCharType="end"/>
            </w:r>
          </w:p>
          <w:p w14:paraId="672CD6B3" w14:textId="15BF2AA9" w:rsidR="00A81649" w:rsidRDefault="00A81649" w:rsidP="00A81649">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_Toc492567090 \h </w:instrText>
            </w:r>
            <w:r>
              <w:fldChar w:fldCharType="separate"/>
            </w:r>
            <w:r w:rsidR="002B1D49">
              <w:t>7</w:t>
            </w:r>
            <w:r>
              <w:fldChar w:fldCharType="end"/>
            </w:r>
          </w:p>
          <w:p w14:paraId="3E3589D0" w14:textId="2B2CBFF5" w:rsidR="00A81649" w:rsidRDefault="00A81649" w:rsidP="00A81649">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_Toc492567091 \h </w:instrText>
            </w:r>
            <w:r>
              <w:fldChar w:fldCharType="separate"/>
            </w:r>
            <w:r w:rsidR="002B1D49">
              <w:t>9</w:t>
            </w:r>
            <w:r>
              <w:fldChar w:fldCharType="end"/>
            </w:r>
          </w:p>
          <w:p w14:paraId="26F4C2E9" w14:textId="44B6D98B" w:rsidR="00A81649" w:rsidRDefault="00A81649" w:rsidP="00A81649">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_Toc492567092 \h </w:instrText>
            </w:r>
            <w:r>
              <w:fldChar w:fldCharType="separate"/>
            </w:r>
            <w:r w:rsidR="002B1D49">
              <w:t>9</w:t>
            </w:r>
            <w:r>
              <w:fldChar w:fldCharType="end"/>
            </w:r>
          </w:p>
          <w:p w14:paraId="3A618568" w14:textId="135F55EC" w:rsidR="00F10E14" w:rsidRPr="00EB32BB" w:rsidRDefault="00985B9D" w:rsidP="00440FAE">
            <w:pPr>
              <w:pStyle w:val="TOCMOD"/>
              <w:framePr w:wrap="around"/>
              <w:tabs>
                <w:tab w:val="clear" w:pos="382"/>
                <w:tab w:val="clear" w:pos="7655"/>
                <w:tab w:val="left" w:pos="5385"/>
              </w:tabs>
              <w:rPr>
                <w:rFonts w:cs="Arial"/>
              </w:rPr>
            </w:pPr>
            <w:r w:rsidRPr="00EB32BB">
              <w:rPr>
                <w:rFonts w:cs="Arial"/>
              </w:rPr>
              <w:fldChar w:fldCharType="end"/>
            </w:r>
          </w:p>
          <w:p w14:paraId="4A47A891" w14:textId="77777777" w:rsidR="00F10E14" w:rsidRPr="00EB32BB" w:rsidRDefault="00AD606D" w:rsidP="00AF7744">
            <w:pPr>
              <w:pStyle w:val="Contents02"/>
            </w:pPr>
            <w:r>
              <w:t>Timetable</w:t>
            </w:r>
          </w:p>
          <w:p w14:paraId="3A1AAEF3" w14:textId="77777777" w:rsidR="005D1C6B" w:rsidRPr="00FF0C32" w:rsidRDefault="005D1C6B" w:rsidP="005D1C6B">
            <w:pPr>
              <w:rPr>
                <w:szCs w:val="20"/>
                <w:lang w:val="en-US"/>
              </w:rPr>
            </w:pPr>
            <w:r w:rsidRPr="00FF0C32">
              <w:rPr>
                <w:szCs w:val="20"/>
                <w:lang w:val="en-US"/>
              </w:rPr>
              <w:t>The timetable for the progression of the CP is as follows:</w:t>
            </w:r>
          </w:p>
          <w:p w14:paraId="2CB665D0"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1F1A7C10" w14:textId="77777777" w:rsidTr="00E81739">
              <w:tc>
                <w:tcPr>
                  <w:tcW w:w="7933" w:type="dxa"/>
                  <w:gridSpan w:val="2"/>
                  <w:shd w:val="clear" w:color="auto" w:fill="auto"/>
                </w:tcPr>
                <w:p w14:paraId="6C6CA59D"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1AA90AEB" w14:textId="77777777" w:rsidTr="00F535CA">
              <w:tc>
                <w:tcPr>
                  <w:tcW w:w="5665" w:type="dxa"/>
                  <w:shd w:val="clear" w:color="auto" w:fill="BDD6EE"/>
                </w:tcPr>
                <w:p w14:paraId="56162763"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2AF1D5EF"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60BA23E4" w14:textId="77777777" w:rsidTr="005D1C6B">
              <w:tc>
                <w:tcPr>
                  <w:tcW w:w="5665" w:type="dxa"/>
                  <w:shd w:val="clear" w:color="auto" w:fill="auto"/>
                </w:tcPr>
                <w:p w14:paraId="62148BB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49411472" w14:textId="645D2703" w:rsidR="005D1C6B" w:rsidRPr="000A0930" w:rsidRDefault="006C798B" w:rsidP="00E25A24">
                  <w:pPr>
                    <w:spacing w:before="40" w:after="40"/>
                    <w:rPr>
                      <w:rFonts w:cs="Arial"/>
                      <w:szCs w:val="20"/>
                      <w:highlight w:val="yellow"/>
                    </w:rPr>
                  </w:pPr>
                  <w:r>
                    <w:rPr>
                      <w:rFonts w:cs="Arial"/>
                      <w:szCs w:val="20"/>
                    </w:rPr>
                    <w:t>19 July</w:t>
                  </w:r>
                  <w:r w:rsidR="000A0930" w:rsidRPr="000A0930">
                    <w:rPr>
                      <w:rFonts w:cs="Arial"/>
                      <w:szCs w:val="20"/>
                    </w:rPr>
                    <w:t xml:space="preserve"> 2017</w:t>
                  </w:r>
                </w:p>
              </w:tc>
            </w:tr>
            <w:tr w:rsidR="005977CB" w:rsidRPr="00EB32BB" w14:paraId="5851CA4D" w14:textId="77777777" w:rsidTr="005D1C6B">
              <w:tc>
                <w:tcPr>
                  <w:tcW w:w="5665" w:type="dxa"/>
                  <w:shd w:val="clear" w:color="auto" w:fill="auto"/>
                </w:tcPr>
                <w:p w14:paraId="5FFFD0CC" w14:textId="77777777" w:rsidR="005977CB" w:rsidRPr="00580576" w:rsidRDefault="00710290" w:rsidP="00CA136E">
                  <w:pPr>
                    <w:tabs>
                      <w:tab w:val="left" w:pos="171"/>
                    </w:tabs>
                    <w:spacing w:before="40" w:after="40"/>
                    <w:rPr>
                      <w:rFonts w:cs="Arial"/>
                      <w:szCs w:val="20"/>
                    </w:rPr>
                  </w:pPr>
                  <w:r>
                    <w:rPr>
                      <w:rFonts w:cs="Arial"/>
                      <w:szCs w:val="20"/>
                    </w:rPr>
                    <w:t xml:space="preserve">First </w:t>
                  </w:r>
                  <w:r w:rsidR="005977CB" w:rsidRPr="00580576">
                    <w:rPr>
                      <w:rFonts w:cs="Arial"/>
                      <w:szCs w:val="20"/>
                    </w:rPr>
                    <w:t>Consultation issued to Parties</w:t>
                  </w:r>
                </w:p>
              </w:tc>
              <w:tc>
                <w:tcPr>
                  <w:tcW w:w="2268" w:type="dxa"/>
                  <w:shd w:val="clear" w:color="auto" w:fill="auto"/>
                  <w:vAlign w:val="center"/>
                </w:tcPr>
                <w:p w14:paraId="73F9FC52" w14:textId="029E106C" w:rsidR="005977CB" w:rsidRPr="00BF42D5" w:rsidRDefault="004B6091" w:rsidP="00580576">
                  <w:pPr>
                    <w:spacing w:before="40" w:after="40"/>
                    <w:rPr>
                      <w:rFonts w:cs="Arial"/>
                      <w:szCs w:val="20"/>
                    </w:rPr>
                  </w:pPr>
                  <w:r>
                    <w:rPr>
                      <w:rFonts w:cs="Arial"/>
                      <w:szCs w:val="20"/>
                    </w:rPr>
                    <w:t>18 September 2017</w:t>
                  </w:r>
                </w:p>
              </w:tc>
            </w:tr>
            <w:tr w:rsidR="006E1566" w:rsidRPr="00EB32BB" w14:paraId="5F0DBFD7" w14:textId="77777777" w:rsidTr="005D1C6B">
              <w:tc>
                <w:tcPr>
                  <w:tcW w:w="5665" w:type="dxa"/>
                  <w:shd w:val="clear" w:color="auto" w:fill="auto"/>
                </w:tcPr>
                <w:p w14:paraId="55605F9A" w14:textId="34A014E0" w:rsidR="006E1566" w:rsidRDefault="006E1566" w:rsidP="00CA136E">
                  <w:pPr>
                    <w:tabs>
                      <w:tab w:val="left" w:pos="171"/>
                    </w:tabs>
                    <w:spacing w:before="40" w:after="40"/>
                    <w:rPr>
                      <w:rFonts w:cs="Arial"/>
                      <w:szCs w:val="20"/>
                    </w:rPr>
                  </w:pPr>
                  <w:r>
                    <w:rPr>
                      <w:rFonts w:cs="Arial"/>
                      <w:szCs w:val="20"/>
                    </w:rPr>
                    <w:t>Methodology Pack issued to Reckon</w:t>
                  </w:r>
                </w:p>
              </w:tc>
              <w:tc>
                <w:tcPr>
                  <w:tcW w:w="2268" w:type="dxa"/>
                  <w:shd w:val="clear" w:color="auto" w:fill="auto"/>
                  <w:vAlign w:val="center"/>
                </w:tcPr>
                <w:p w14:paraId="6D4083D0" w14:textId="7B3CD7F5" w:rsidR="006E1566" w:rsidRDefault="005B33F9" w:rsidP="00580576">
                  <w:pPr>
                    <w:spacing w:before="40" w:after="40"/>
                    <w:rPr>
                      <w:rFonts w:cs="Arial"/>
                      <w:szCs w:val="20"/>
                    </w:rPr>
                  </w:pPr>
                  <w:r>
                    <w:rPr>
                      <w:rFonts w:cs="Arial"/>
                      <w:szCs w:val="20"/>
                    </w:rPr>
                    <w:t>01 November</w:t>
                  </w:r>
                  <w:r w:rsidR="006E1566">
                    <w:rPr>
                      <w:rFonts w:cs="Arial"/>
                      <w:szCs w:val="20"/>
                    </w:rPr>
                    <w:t xml:space="preserve"> 2017</w:t>
                  </w:r>
                </w:p>
              </w:tc>
            </w:tr>
            <w:tr w:rsidR="005C2EC5" w:rsidRPr="00EB32BB" w14:paraId="07F65096" w14:textId="77777777" w:rsidTr="005D1C6B">
              <w:tc>
                <w:tcPr>
                  <w:tcW w:w="5665" w:type="dxa"/>
                  <w:shd w:val="clear" w:color="auto" w:fill="auto"/>
                </w:tcPr>
                <w:p w14:paraId="1888B7DE" w14:textId="3C75DEE9" w:rsidR="005C2EC5" w:rsidRDefault="006E1566" w:rsidP="00CA136E">
                  <w:pPr>
                    <w:tabs>
                      <w:tab w:val="left" w:pos="171"/>
                    </w:tabs>
                    <w:spacing w:before="40" w:after="40"/>
                    <w:rPr>
                      <w:rFonts w:cs="Arial"/>
                      <w:szCs w:val="20"/>
                    </w:rPr>
                  </w:pPr>
                  <w:r>
                    <w:rPr>
                      <w:rFonts w:cs="Arial"/>
                      <w:szCs w:val="20"/>
                    </w:rPr>
                    <w:t>Reckon to develop model for PCDM</w:t>
                  </w:r>
                </w:p>
              </w:tc>
              <w:tc>
                <w:tcPr>
                  <w:tcW w:w="2268" w:type="dxa"/>
                  <w:shd w:val="clear" w:color="auto" w:fill="auto"/>
                  <w:vAlign w:val="center"/>
                </w:tcPr>
                <w:p w14:paraId="50026C01" w14:textId="49319CBE" w:rsidR="005C2EC5" w:rsidRDefault="005B33F9" w:rsidP="00580576">
                  <w:pPr>
                    <w:spacing w:before="40" w:after="40"/>
                    <w:rPr>
                      <w:rFonts w:cs="Arial"/>
                      <w:szCs w:val="20"/>
                    </w:rPr>
                  </w:pPr>
                  <w:r>
                    <w:rPr>
                      <w:rFonts w:cs="Arial"/>
                      <w:szCs w:val="20"/>
                    </w:rPr>
                    <w:t>16 November</w:t>
                  </w:r>
                  <w:r w:rsidR="006E1566">
                    <w:rPr>
                      <w:rFonts w:cs="Arial"/>
                      <w:szCs w:val="20"/>
                    </w:rPr>
                    <w:t xml:space="preserve"> 2017</w:t>
                  </w:r>
                </w:p>
              </w:tc>
            </w:tr>
            <w:tr w:rsidR="004B6091" w:rsidRPr="00EB32BB" w14:paraId="22C294A3" w14:textId="77777777" w:rsidTr="005D1C6B">
              <w:tc>
                <w:tcPr>
                  <w:tcW w:w="5665" w:type="dxa"/>
                  <w:shd w:val="clear" w:color="auto" w:fill="auto"/>
                </w:tcPr>
                <w:p w14:paraId="6D6A807A" w14:textId="232BB4B6" w:rsidR="004B6091" w:rsidRDefault="004B6091" w:rsidP="00CA136E">
                  <w:pPr>
                    <w:tabs>
                      <w:tab w:val="left" w:pos="171"/>
                    </w:tabs>
                    <w:spacing w:before="40" w:after="40"/>
                    <w:rPr>
                      <w:rFonts w:cs="Arial"/>
                      <w:szCs w:val="20"/>
                    </w:rPr>
                  </w:pPr>
                  <w:r>
                    <w:rPr>
                      <w:rFonts w:cs="Arial"/>
                      <w:szCs w:val="20"/>
                    </w:rPr>
                    <w:t>Second Consultation issued to Parties</w:t>
                  </w:r>
                </w:p>
              </w:tc>
              <w:tc>
                <w:tcPr>
                  <w:tcW w:w="2268" w:type="dxa"/>
                  <w:shd w:val="clear" w:color="auto" w:fill="auto"/>
                  <w:vAlign w:val="center"/>
                </w:tcPr>
                <w:p w14:paraId="29CFC4EE" w14:textId="3F459DCE" w:rsidR="004B6091" w:rsidRDefault="005B33F9" w:rsidP="00580576">
                  <w:pPr>
                    <w:spacing w:before="40" w:after="40"/>
                    <w:rPr>
                      <w:rFonts w:cs="Arial"/>
                      <w:szCs w:val="20"/>
                    </w:rPr>
                  </w:pPr>
                  <w:r>
                    <w:rPr>
                      <w:rFonts w:cs="Arial"/>
                      <w:szCs w:val="20"/>
                    </w:rPr>
                    <w:t>XX December</w:t>
                  </w:r>
                  <w:r w:rsidR="004B6091">
                    <w:rPr>
                      <w:rFonts w:cs="Arial"/>
                      <w:szCs w:val="20"/>
                    </w:rPr>
                    <w:t xml:space="preserve"> 2017</w:t>
                  </w:r>
                </w:p>
              </w:tc>
            </w:tr>
            <w:tr w:rsidR="005977CB" w:rsidRPr="00EB32BB" w14:paraId="331463D2" w14:textId="77777777" w:rsidTr="005D1C6B">
              <w:tc>
                <w:tcPr>
                  <w:tcW w:w="5665" w:type="dxa"/>
                  <w:shd w:val="clear" w:color="auto" w:fill="auto"/>
                </w:tcPr>
                <w:p w14:paraId="54CAD732" w14:textId="77777777" w:rsidR="005977CB" w:rsidRPr="00EB32BB" w:rsidRDefault="005977CB"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AE703C" w14:textId="4431951B" w:rsidR="005977CB" w:rsidRPr="00BF42D5" w:rsidRDefault="004B6091" w:rsidP="008D7BF0">
                  <w:pPr>
                    <w:spacing w:before="40" w:after="40"/>
                    <w:rPr>
                      <w:rFonts w:cs="Arial"/>
                      <w:szCs w:val="20"/>
                    </w:rPr>
                  </w:pPr>
                  <w:r>
                    <w:rPr>
                      <w:rFonts w:cs="Arial"/>
                      <w:szCs w:val="20"/>
                    </w:rPr>
                    <w:t>14 February 2018</w:t>
                  </w:r>
                </w:p>
              </w:tc>
            </w:tr>
            <w:tr w:rsidR="005977CB" w:rsidRPr="00EB32BB" w14:paraId="266678DD" w14:textId="77777777" w:rsidTr="005D1C6B">
              <w:tc>
                <w:tcPr>
                  <w:tcW w:w="5665" w:type="dxa"/>
                  <w:shd w:val="clear" w:color="auto" w:fill="auto"/>
                </w:tcPr>
                <w:p w14:paraId="304647B5" w14:textId="77777777" w:rsidR="005977CB" w:rsidRPr="00EB32BB" w:rsidRDefault="005977CB"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1339AB1F" w14:textId="7FC85C72" w:rsidR="005977CB" w:rsidRPr="00BF42D5" w:rsidRDefault="004B6091" w:rsidP="008D7BF0">
                  <w:pPr>
                    <w:spacing w:before="40" w:after="40"/>
                    <w:rPr>
                      <w:rFonts w:cs="Arial"/>
                      <w:szCs w:val="20"/>
                    </w:rPr>
                  </w:pPr>
                  <w:r>
                    <w:rPr>
                      <w:rFonts w:cs="Arial"/>
                      <w:szCs w:val="20"/>
                    </w:rPr>
                    <w:t>23 February 2018</w:t>
                  </w:r>
                </w:p>
              </w:tc>
            </w:tr>
            <w:tr w:rsidR="005977CB" w:rsidRPr="00EB32BB" w14:paraId="61F8ED55" w14:textId="77777777" w:rsidTr="005D1C6B">
              <w:tc>
                <w:tcPr>
                  <w:tcW w:w="5665" w:type="dxa"/>
                  <w:shd w:val="clear" w:color="auto" w:fill="auto"/>
                </w:tcPr>
                <w:p w14:paraId="44377D64" w14:textId="77777777" w:rsidR="005977CB" w:rsidRPr="00EB32BB" w:rsidRDefault="005977CB"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1FD24DA1" w14:textId="2098B417" w:rsidR="005977CB" w:rsidRPr="00BF42D5" w:rsidRDefault="004B6091" w:rsidP="008D7BF0">
                  <w:pPr>
                    <w:spacing w:before="40" w:after="40"/>
                    <w:rPr>
                      <w:rFonts w:cs="Arial"/>
                      <w:szCs w:val="20"/>
                    </w:rPr>
                  </w:pPr>
                  <w:r>
                    <w:rPr>
                      <w:rFonts w:cs="Arial"/>
                      <w:szCs w:val="20"/>
                    </w:rPr>
                    <w:t>16 March 2018</w:t>
                  </w:r>
                </w:p>
              </w:tc>
            </w:tr>
            <w:tr w:rsidR="005977CB" w:rsidRPr="00EB32BB" w14:paraId="34868C05" w14:textId="77777777" w:rsidTr="005D1C6B">
              <w:tc>
                <w:tcPr>
                  <w:tcW w:w="5665" w:type="dxa"/>
                  <w:shd w:val="clear" w:color="auto" w:fill="auto"/>
                </w:tcPr>
                <w:p w14:paraId="25B5B989" w14:textId="77777777" w:rsidR="005977CB" w:rsidRPr="00B81F70" w:rsidRDefault="005977CB"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479B8693" w14:textId="7DB93C17" w:rsidR="005977CB" w:rsidRPr="00BF42D5" w:rsidRDefault="004B6091" w:rsidP="008D7BF0">
                  <w:pPr>
                    <w:spacing w:before="40" w:after="40"/>
                    <w:rPr>
                      <w:rFonts w:cs="Arial"/>
                      <w:szCs w:val="20"/>
                    </w:rPr>
                  </w:pPr>
                  <w:r>
                    <w:rPr>
                      <w:rFonts w:cs="Arial"/>
                      <w:szCs w:val="20"/>
                    </w:rPr>
                    <w:t>20 March 2018</w:t>
                  </w:r>
                </w:p>
              </w:tc>
            </w:tr>
            <w:tr w:rsidR="005977CB" w:rsidRPr="00EB32BB" w14:paraId="66FEFF17" w14:textId="77777777" w:rsidTr="005D1C6B">
              <w:trPr>
                <w:trHeight w:val="93"/>
              </w:trPr>
              <w:tc>
                <w:tcPr>
                  <w:tcW w:w="5665" w:type="dxa"/>
                  <w:shd w:val="clear" w:color="auto" w:fill="auto"/>
                </w:tcPr>
                <w:p w14:paraId="28B674C2" w14:textId="77777777" w:rsidR="005977CB" w:rsidRDefault="005977CB"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7AAA0140" w14:textId="14FB47F3" w:rsidR="005977CB" w:rsidRPr="00BF42D5" w:rsidRDefault="004B6091" w:rsidP="005D1C6B">
                  <w:pPr>
                    <w:spacing w:before="40" w:after="40"/>
                    <w:rPr>
                      <w:rFonts w:cs="Arial"/>
                      <w:szCs w:val="20"/>
                    </w:rPr>
                  </w:pPr>
                  <w:r>
                    <w:rPr>
                      <w:rFonts w:cs="Arial"/>
                      <w:szCs w:val="20"/>
                    </w:rPr>
                    <w:t>24 April 2018</w:t>
                  </w:r>
                </w:p>
              </w:tc>
            </w:tr>
            <w:tr w:rsidR="005977CB" w:rsidRPr="00EB32BB" w14:paraId="3659888D" w14:textId="77777777" w:rsidTr="005D1C6B">
              <w:trPr>
                <w:trHeight w:val="93"/>
              </w:trPr>
              <w:tc>
                <w:tcPr>
                  <w:tcW w:w="5665" w:type="dxa"/>
                  <w:shd w:val="clear" w:color="auto" w:fill="auto"/>
                </w:tcPr>
                <w:p w14:paraId="5F8D0586" w14:textId="77777777" w:rsidR="005977CB" w:rsidRDefault="005977CB"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019BC4C" w14:textId="77777777" w:rsidR="005977CB" w:rsidRPr="00BF42D5" w:rsidRDefault="00BF42D5" w:rsidP="00C07E01">
                  <w:pPr>
                    <w:spacing w:before="40" w:after="40"/>
                    <w:rPr>
                      <w:rFonts w:cs="Arial"/>
                      <w:szCs w:val="20"/>
                    </w:rPr>
                  </w:pPr>
                  <w:r w:rsidRPr="00BF42D5">
                    <w:rPr>
                      <w:rFonts w:cs="Arial"/>
                      <w:szCs w:val="20"/>
                    </w:rPr>
                    <w:t xml:space="preserve">01 </w:t>
                  </w:r>
                  <w:r w:rsidR="00710290">
                    <w:rPr>
                      <w:rFonts w:cs="Arial"/>
                      <w:szCs w:val="20"/>
                    </w:rPr>
                    <w:t>April 2020</w:t>
                  </w:r>
                </w:p>
              </w:tc>
            </w:tr>
          </w:tbl>
          <w:p w14:paraId="23D85401"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D1B687B"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69E35AEC" wp14:editId="5223F7E2">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1076D5C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10B228"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98F8598"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0204E2A0" w14:textId="77777777" w:rsidR="00F10E14" w:rsidRPr="002D7C43" w:rsidRDefault="00C345E1"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2327203B"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F3782D"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563B20"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48E9855F" wp14:editId="41AE7969">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C345E1">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05CFC9C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0C3699"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2976A25"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5D747A33" wp14:editId="5880D430">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737853">
              <w:rPr>
                <w:rFonts w:cs="Arial"/>
                <w:b/>
                <w:noProof/>
                <w:color w:val="008576"/>
                <w:szCs w:val="20"/>
                <w:lang w:val="en-US" w:eastAsia="en-US"/>
              </w:rPr>
              <w:t>020 7432 2859</w:t>
            </w:r>
          </w:p>
        </w:tc>
      </w:tr>
      <w:tr w:rsidR="00F10E14" w:rsidRPr="00EB32BB" w14:paraId="5043AC70"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F7BF9C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2A6A7B" w14:textId="5F7B8C72"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0C0555">
              <w:rPr>
                <w:rFonts w:cs="Arial"/>
                <w:b/>
                <w:color w:val="008576"/>
                <w:szCs w:val="20"/>
              </w:rPr>
              <w:t>The Electricity Network Company Ltd.</w:t>
            </w:r>
          </w:p>
        </w:tc>
      </w:tr>
      <w:tr w:rsidR="00E25A24" w:rsidRPr="00EB32BB" w14:paraId="25FC86BE"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3B2C46"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C1E6B06" w14:textId="6FF763C2"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61591139" wp14:editId="30F6A51B">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0C0555">
              <w:rPr>
                <w:rFonts w:cs="Arial"/>
                <w:b/>
                <w:color w:val="008576"/>
                <w:szCs w:val="20"/>
              </w:rPr>
              <w:t>neil.brinkley@bu-uk.co.uk</w:t>
            </w:r>
          </w:p>
        </w:tc>
      </w:tr>
      <w:tr w:rsidR="00E25A24" w:rsidRPr="00EB32BB" w14:paraId="10E1BD0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3C9FE63"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7311439" w14:textId="44F32E44"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0128B7C8" wp14:editId="121F2543">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0C0555">
              <w:rPr>
                <w:rFonts w:cs="Arial"/>
                <w:b/>
                <w:color w:val="008576"/>
                <w:szCs w:val="20"/>
              </w:rPr>
              <w:t>01359 302451</w:t>
            </w:r>
          </w:p>
        </w:tc>
      </w:tr>
    </w:tbl>
    <w:p w14:paraId="3F1C913A" w14:textId="77777777" w:rsidR="00FA4B61" w:rsidRPr="00EB32BB" w:rsidRDefault="00FA4B61">
      <w:pPr>
        <w:rPr>
          <w:rFonts w:cs="Arial"/>
        </w:rPr>
      </w:pPr>
    </w:p>
    <w:p w14:paraId="45FC2AF2" w14:textId="77777777" w:rsidR="00FA4B61" w:rsidRPr="00EB32BB" w:rsidRDefault="00FA4B61">
      <w:pPr>
        <w:rPr>
          <w:rFonts w:cs="Arial"/>
        </w:rPr>
      </w:pPr>
    </w:p>
    <w:p w14:paraId="76086DB0" w14:textId="77777777" w:rsidR="00FA4B61" w:rsidRPr="00EB32BB" w:rsidRDefault="00FA4B61">
      <w:pPr>
        <w:rPr>
          <w:rFonts w:cs="Arial"/>
        </w:rPr>
      </w:pPr>
    </w:p>
    <w:p w14:paraId="3C64E8BB" w14:textId="77777777" w:rsidR="00FD0418" w:rsidRDefault="00FD0418">
      <w:pPr>
        <w:rPr>
          <w:rFonts w:cs="Arial"/>
        </w:rPr>
      </w:pPr>
    </w:p>
    <w:p w14:paraId="06412814" w14:textId="77777777" w:rsidR="00A968AB" w:rsidRDefault="00A968AB">
      <w:pPr>
        <w:rPr>
          <w:rFonts w:cs="Arial"/>
        </w:rPr>
      </w:pPr>
    </w:p>
    <w:p w14:paraId="0CAB2816" w14:textId="77777777" w:rsidR="000363FA" w:rsidRPr="00EB32BB" w:rsidRDefault="000363FA">
      <w:pPr>
        <w:rPr>
          <w:rFonts w:cs="Arial"/>
        </w:rPr>
      </w:pPr>
    </w:p>
    <w:p w14:paraId="1D2D9CE6" w14:textId="77777777" w:rsidR="00143041" w:rsidRPr="00EB32BB" w:rsidRDefault="004C6117" w:rsidP="00F20A95">
      <w:pPr>
        <w:pStyle w:val="Heading02"/>
        <w:numPr>
          <w:ilvl w:val="0"/>
          <w:numId w:val="20"/>
        </w:numPr>
        <w:ind w:hanging="578"/>
      </w:pPr>
      <w:bookmarkStart w:id="0" w:name="_Toc188527263"/>
      <w:bookmarkStart w:id="1" w:name="_Toc318962133"/>
      <w:bookmarkStart w:id="2" w:name="_Toc453107796"/>
      <w:bookmarkStart w:id="3" w:name="_Toc492567083"/>
      <w:r>
        <w:t>Summary</w:t>
      </w:r>
      <w:bookmarkEnd w:id="0"/>
      <w:bookmarkEnd w:id="1"/>
      <w:bookmarkEnd w:id="2"/>
      <w:bookmarkEnd w:id="3"/>
    </w:p>
    <w:p w14:paraId="79E8F346"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8C9CED2" w14:textId="77777777" w:rsidR="003328B8" w:rsidRDefault="003328B8" w:rsidP="00113A6E">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71103B02" w14:textId="3ADA3B2B" w:rsidR="000A0930" w:rsidRPr="000A0930" w:rsidRDefault="000A0930" w:rsidP="00113A6E">
      <w:pPr>
        <w:pStyle w:val="Heading2"/>
        <w:numPr>
          <w:ilvl w:val="1"/>
          <w:numId w:val="14"/>
        </w:numPr>
        <w:spacing w:before="240" w:after="60" w:line="360" w:lineRule="auto"/>
        <w:jc w:val="both"/>
        <w:rPr>
          <w:color w:val="auto"/>
          <w:sz w:val="20"/>
          <w:szCs w:val="20"/>
        </w:rPr>
      </w:pPr>
      <w:r w:rsidRPr="000A0930">
        <w:rPr>
          <w:color w:val="auto"/>
          <w:sz w:val="20"/>
          <w:szCs w:val="20"/>
        </w:rPr>
        <w:t xml:space="preserve">This CP seeks to </w:t>
      </w:r>
      <w:r w:rsidR="00710290">
        <w:rPr>
          <w:color w:val="auto"/>
          <w:sz w:val="20"/>
          <w:szCs w:val="20"/>
        </w:rPr>
        <w:t>improve the cost reflectivity of Opex cost allocation within the Price Control Disaggregation Model (PCDM) (part of Schedule 16</w:t>
      </w:r>
      <w:r w:rsidR="006E1566">
        <w:rPr>
          <w:rStyle w:val="FootnoteReference"/>
          <w:color w:val="auto"/>
          <w:sz w:val="20"/>
          <w:szCs w:val="20"/>
        </w:rPr>
        <w:footnoteReference w:id="2"/>
      </w:r>
      <w:r w:rsidR="00710290">
        <w:rPr>
          <w:color w:val="auto"/>
          <w:sz w:val="20"/>
          <w:szCs w:val="20"/>
        </w:rPr>
        <w:t xml:space="preserve">) by allocating Ofgem licence fee costs directly to </w:t>
      </w:r>
      <w:r w:rsidR="00CC2FE8">
        <w:rPr>
          <w:color w:val="auto"/>
          <w:sz w:val="20"/>
          <w:szCs w:val="20"/>
        </w:rPr>
        <w:t>an appropriate network tier</w:t>
      </w:r>
      <w:r w:rsidR="00710290">
        <w:rPr>
          <w:color w:val="auto"/>
          <w:sz w:val="20"/>
          <w:szCs w:val="20"/>
        </w:rPr>
        <w:t>.</w:t>
      </w:r>
    </w:p>
    <w:p w14:paraId="16B4AB26" w14:textId="77777777" w:rsidR="0012717A" w:rsidRPr="00E25A24" w:rsidRDefault="0012717A" w:rsidP="00113A6E">
      <w:pPr>
        <w:pStyle w:val="Heading4"/>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2C16882E" w14:textId="068A4EAC" w:rsidR="000A0930" w:rsidRPr="000A0930" w:rsidRDefault="00710290" w:rsidP="00113A6E">
      <w:pPr>
        <w:pStyle w:val="Heading2"/>
        <w:numPr>
          <w:ilvl w:val="1"/>
          <w:numId w:val="14"/>
        </w:numPr>
        <w:spacing w:before="240" w:after="60" w:line="360" w:lineRule="auto"/>
        <w:jc w:val="both"/>
        <w:rPr>
          <w:color w:val="auto"/>
          <w:sz w:val="20"/>
          <w:szCs w:val="20"/>
        </w:rPr>
      </w:pPr>
      <w:r>
        <w:rPr>
          <w:color w:val="auto"/>
          <w:sz w:val="20"/>
          <w:szCs w:val="20"/>
        </w:rPr>
        <w:t>Currently, Ofgem licence fees are calculated and paid by distributors on a £ per MPAN basis. The licence fee costs are not presently considered within the PCDM in calculating the Opex cost allocation driver</w:t>
      </w:r>
      <w:r w:rsidR="00C345E1">
        <w:rPr>
          <w:color w:val="auto"/>
          <w:sz w:val="20"/>
          <w:szCs w:val="20"/>
        </w:rPr>
        <w:t>.</w:t>
      </w:r>
      <w:r>
        <w:rPr>
          <w:color w:val="auto"/>
          <w:sz w:val="20"/>
          <w:szCs w:val="20"/>
        </w:rPr>
        <w:t xml:space="preserve"> </w:t>
      </w:r>
      <w:r w:rsidR="00CC2FE8">
        <w:rPr>
          <w:color w:val="auto"/>
          <w:sz w:val="20"/>
          <w:szCs w:val="20"/>
        </w:rPr>
        <w:t xml:space="preserve">It is the view of the Proposer that </w:t>
      </w:r>
      <w:r>
        <w:rPr>
          <w:color w:val="auto"/>
          <w:sz w:val="20"/>
          <w:szCs w:val="20"/>
        </w:rPr>
        <w:t>the costs associated with Ofgem licence fees are not correctly allocated, leading to the L</w:t>
      </w:r>
      <w:r w:rsidR="006A109D">
        <w:rPr>
          <w:color w:val="auto"/>
          <w:sz w:val="20"/>
          <w:szCs w:val="20"/>
        </w:rPr>
        <w:t xml:space="preserve">icensed </w:t>
      </w:r>
      <w:r>
        <w:rPr>
          <w:color w:val="auto"/>
          <w:sz w:val="20"/>
          <w:szCs w:val="20"/>
        </w:rPr>
        <w:t>D</w:t>
      </w:r>
      <w:r w:rsidR="006A109D">
        <w:rPr>
          <w:color w:val="auto"/>
          <w:sz w:val="20"/>
          <w:szCs w:val="20"/>
        </w:rPr>
        <w:t xml:space="preserve">istributor </w:t>
      </w:r>
      <w:r>
        <w:rPr>
          <w:color w:val="auto"/>
          <w:sz w:val="20"/>
          <w:szCs w:val="20"/>
        </w:rPr>
        <w:t>N</w:t>
      </w:r>
      <w:r w:rsidR="006A109D">
        <w:rPr>
          <w:color w:val="auto"/>
          <w:sz w:val="20"/>
          <w:szCs w:val="20"/>
        </w:rPr>
        <w:t xml:space="preserve">etwork </w:t>
      </w:r>
      <w:r>
        <w:rPr>
          <w:color w:val="auto"/>
          <w:sz w:val="20"/>
          <w:szCs w:val="20"/>
        </w:rPr>
        <w:t>O</w:t>
      </w:r>
      <w:r w:rsidR="006A109D">
        <w:rPr>
          <w:color w:val="auto"/>
          <w:sz w:val="20"/>
          <w:szCs w:val="20"/>
        </w:rPr>
        <w:t>perator (LDNO)</w:t>
      </w:r>
      <w:r w:rsidR="006E1566">
        <w:rPr>
          <w:rStyle w:val="FootnoteReference"/>
          <w:color w:val="auto"/>
          <w:sz w:val="20"/>
          <w:szCs w:val="20"/>
        </w:rPr>
        <w:footnoteReference w:id="3"/>
      </w:r>
      <w:r>
        <w:rPr>
          <w:color w:val="auto"/>
          <w:sz w:val="20"/>
          <w:szCs w:val="20"/>
        </w:rPr>
        <w:t xml:space="preserve"> tariffs being less cost reflective, particularly for L</w:t>
      </w:r>
      <w:r w:rsidR="00CC2FE8">
        <w:rPr>
          <w:color w:val="auto"/>
          <w:sz w:val="20"/>
          <w:szCs w:val="20"/>
        </w:rPr>
        <w:t xml:space="preserve">ow </w:t>
      </w:r>
      <w:r>
        <w:rPr>
          <w:color w:val="auto"/>
          <w:sz w:val="20"/>
          <w:szCs w:val="20"/>
        </w:rPr>
        <w:t>V</w:t>
      </w:r>
      <w:r w:rsidR="00CC2FE8">
        <w:rPr>
          <w:color w:val="auto"/>
          <w:sz w:val="20"/>
          <w:szCs w:val="20"/>
        </w:rPr>
        <w:t>oltage (LV)</w:t>
      </w:r>
      <w:r>
        <w:rPr>
          <w:color w:val="auto"/>
          <w:sz w:val="20"/>
          <w:szCs w:val="20"/>
        </w:rPr>
        <w:t xml:space="preserve"> connected end user LDNO tariffs (H</w:t>
      </w:r>
      <w:r w:rsidR="00CC2FE8">
        <w:rPr>
          <w:color w:val="auto"/>
          <w:sz w:val="20"/>
          <w:szCs w:val="20"/>
        </w:rPr>
        <w:t xml:space="preserve">igh </w:t>
      </w:r>
      <w:r>
        <w:rPr>
          <w:color w:val="auto"/>
          <w:sz w:val="20"/>
          <w:szCs w:val="20"/>
        </w:rPr>
        <w:t>V</w:t>
      </w:r>
      <w:r w:rsidR="00CC2FE8">
        <w:rPr>
          <w:color w:val="auto"/>
          <w:sz w:val="20"/>
          <w:szCs w:val="20"/>
        </w:rPr>
        <w:t>oltage (HV)</w:t>
      </w:r>
      <w:r>
        <w:rPr>
          <w:color w:val="auto"/>
          <w:sz w:val="20"/>
          <w:szCs w:val="20"/>
        </w:rPr>
        <w:t>:LV, LV:LV etc.)</w:t>
      </w:r>
    </w:p>
    <w:p w14:paraId="7773091A" w14:textId="77777777" w:rsidR="0012717A" w:rsidRDefault="0012717A" w:rsidP="00113A6E">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133113B9" w14:textId="662EBD22" w:rsidR="000A0930" w:rsidRDefault="00710290" w:rsidP="00113A6E">
      <w:pPr>
        <w:pStyle w:val="Heading2"/>
        <w:numPr>
          <w:ilvl w:val="1"/>
          <w:numId w:val="14"/>
        </w:numPr>
        <w:spacing w:before="240" w:after="60" w:line="360" w:lineRule="auto"/>
        <w:jc w:val="both"/>
        <w:rPr>
          <w:color w:val="auto"/>
          <w:sz w:val="20"/>
          <w:szCs w:val="20"/>
        </w:rPr>
      </w:pPr>
      <w:r>
        <w:rPr>
          <w:color w:val="auto"/>
          <w:sz w:val="20"/>
          <w:szCs w:val="20"/>
        </w:rPr>
        <w:t>This change suggests that the most appropriate solution to this issue is to directly allocate the Ofgem licence fees (taken from 2007/08 Regulatory Reporting Pack table 2.6) to the LV services network level</w:t>
      </w:r>
      <w:r w:rsidR="00CC2FE8">
        <w:rPr>
          <w:color w:val="auto"/>
          <w:sz w:val="20"/>
          <w:szCs w:val="20"/>
        </w:rPr>
        <w:t xml:space="preserve"> although further consideration should be given to allocating the license fee at each network level</w:t>
      </w:r>
      <w:r w:rsidR="005C20E9">
        <w:rPr>
          <w:color w:val="auto"/>
          <w:sz w:val="20"/>
          <w:szCs w:val="20"/>
        </w:rPr>
        <w:t>.</w:t>
      </w:r>
    </w:p>
    <w:p w14:paraId="2A1AA42F" w14:textId="5657209C" w:rsidR="002249A0" w:rsidRDefault="002249A0" w:rsidP="002249A0">
      <w:pPr>
        <w:pStyle w:val="ListParagraph"/>
        <w:numPr>
          <w:ilvl w:val="1"/>
          <w:numId w:val="14"/>
        </w:numPr>
      </w:pPr>
      <w:r>
        <w:t xml:space="preserve">Following the first consultation and discussion of the CP within the Working Group, the </w:t>
      </w:r>
      <w:r w:rsidR="00745C95">
        <w:t xml:space="preserve">Working Group are issuing </w:t>
      </w:r>
      <w:r>
        <w:t>a second consultation to gain industry views on the impacts of the modelling changes that are needed to the PCDM to facilitate this change</w:t>
      </w:r>
      <w:r w:rsidR="00490CAA">
        <w:t xml:space="preserve"> based on allocating the Ofgem licence fee to the LV service network</w:t>
      </w:r>
      <w:r>
        <w:t>.</w:t>
      </w:r>
    </w:p>
    <w:p w14:paraId="626BCB96" w14:textId="77777777" w:rsidR="00E6212D" w:rsidRPr="00EB32BB" w:rsidRDefault="00E6212D" w:rsidP="00CB2A38">
      <w:pPr>
        <w:pStyle w:val="Heading02"/>
        <w:numPr>
          <w:ilvl w:val="0"/>
          <w:numId w:val="14"/>
        </w:numPr>
      </w:pPr>
      <w:bookmarkStart w:id="5" w:name="_Toc453107797"/>
      <w:bookmarkStart w:id="6" w:name="_Toc492567084"/>
      <w:r>
        <w:lastRenderedPageBreak/>
        <w:t>Governance</w:t>
      </w:r>
      <w:bookmarkEnd w:id="4"/>
      <w:bookmarkEnd w:id="5"/>
      <w:bookmarkEnd w:id="6"/>
    </w:p>
    <w:p w14:paraId="5C6E168D"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2D326E2C" w14:textId="77777777" w:rsidR="002249A0" w:rsidRDefault="00710290" w:rsidP="00113A6E">
      <w:pPr>
        <w:pStyle w:val="Heading2"/>
        <w:numPr>
          <w:ilvl w:val="1"/>
          <w:numId w:val="14"/>
        </w:numPr>
        <w:spacing w:before="240" w:after="60" w:line="360" w:lineRule="auto"/>
        <w:jc w:val="both"/>
        <w:rPr>
          <w:color w:val="auto"/>
          <w:sz w:val="20"/>
          <w:szCs w:val="20"/>
        </w:rPr>
      </w:pPr>
      <w:r>
        <w:rPr>
          <w:color w:val="auto"/>
          <w:sz w:val="20"/>
          <w:szCs w:val="20"/>
        </w:rPr>
        <w:t>DCP 306</w:t>
      </w:r>
      <w:r w:rsidR="00335479" w:rsidRPr="00762B27">
        <w:rPr>
          <w:color w:val="auto"/>
          <w:sz w:val="20"/>
          <w:szCs w:val="20"/>
        </w:rPr>
        <w:t xml:space="preserve"> has been designated as a Part 1 Matter </w:t>
      </w:r>
      <w:r w:rsidR="002249A0">
        <w:rPr>
          <w:color w:val="auto"/>
          <w:sz w:val="20"/>
          <w:szCs w:val="20"/>
        </w:rPr>
        <w:t>and therefore will go the Authority for determination after the voting proves has completed.</w:t>
      </w:r>
    </w:p>
    <w:p w14:paraId="06640FFE" w14:textId="00EFF0CF" w:rsidR="00D63847" w:rsidRPr="002249A0" w:rsidRDefault="002249A0" w:rsidP="002249A0">
      <w:pPr>
        <w:pStyle w:val="Heading2"/>
        <w:numPr>
          <w:ilvl w:val="1"/>
          <w:numId w:val="14"/>
        </w:numPr>
        <w:spacing w:before="240" w:after="60" w:line="360" w:lineRule="auto"/>
        <w:jc w:val="both"/>
        <w:rPr>
          <w:color w:val="auto"/>
          <w:sz w:val="20"/>
          <w:szCs w:val="20"/>
        </w:rPr>
      </w:pPr>
      <w:r w:rsidRPr="002249A0">
        <w:rPr>
          <w:color w:val="auto"/>
          <w:sz w:val="20"/>
          <w:szCs w:val="20"/>
        </w:rPr>
        <w:t>This is considered a Part 1 Matter as it affects DCUSA Clause 9.4.2B and is likely to have a significant impact on competition in the distribution of electricity.</w:t>
      </w:r>
      <w:r w:rsidR="006A109D" w:rsidRPr="002249A0">
        <w:rPr>
          <w:sz w:val="20"/>
          <w:szCs w:val="20"/>
        </w:rPr>
        <w:t xml:space="preserve"> </w:t>
      </w:r>
    </w:p>
    <w:p w14:paraId="47C644E9" w14:textId="77777777" w:rsidR="00E50A06" w:rsidRDefault="00E50A06" w:rsidP="00113A6E">
      <w:pPr>
        <w:pStyle w:val="Heading4"/>
        <w:keepLines w:val="0"/>
        <w:spacing w:before="240"/>
        <w:jc w:val="both"/>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1C4E7CFB" w14:textId="15115AA7" w:rsidR="00737853" w:rsidRDefault="00737853" w:rsidP="00113A6E">
      <w:pPr>
        <w:pStyle w:val="Heading2"/>
        <w:numPr>
          <w:ilvl w:val="1"/>
          <w:numId w:val="14"/>
        </w:numPr>
        <w:spacing w:before="240" w:after="60" w:line="360" w:lineRule="auto"/>
        <w:jc w:val="both"/>
        <w:rPr>
          <w:color w:val="auto"/>
          <w:sz w:val="20"/>
          <w:szCs w:val="20"/>
        </w:rPr>
      </w:pPr>
      <w:bookmarkStart w:id="7" w:name="_Toc318962135"/>
      <w:bookmarkStart w:id="8" w:name="_Toc453107798"/>
      <w:r w:rsidRPr="00737853">
        <w:rPr>
          <w:color w:val="auto"/>
          <w:sz w:val="20"/>
          <w:szCs w:val="20"/>
        </w:rPr>
        <w:t>F</w:t>
      </w:r>
      <w:r w:rsidR="00CA136E" w:rsidRPr="00737853">
        <w:rPr>
          <w:color w:val="auto"/>
          <w:sz w:val="20"/>
          <w:szCs w:val="20"/>
        </w:rPr>
        <w:t xml:space="preserve">ollowing a review of the Consultation responses, the Working Group </w:t>
      </w:r>
      <w:r w:rsidR="002249A0">
        <w:rPr>
          <w:color w:val="auto"/>
          <w:sz w:val="20"/>
          <w:szCs w:val="20"/>
        </w:rPr>
        <w:t xml:space="preserve">is proposing to progress </w:t>
      </w:r>
      <w:r w:rsidR="00745C95">
        <w:rPr>
          <w:color w:val="auto"/>
          <w:sz w:val="20"/>
          <w:szCs w:val="20"/>
        </w:rPr>
        <w:t>to t</w:t>
      </w:r>
      <w:r w:rsidR="002249A0">
        <w:rPr>
          <w:color w:val="auto"/>
          <w:sz w:val="20"/>
          <w:szCs w:val="20"/>
        </w:rPr>
        <w:t>he Change Report phase unless feedback would suggest otherwise.</w:t>
      </w:r>
      <w:r w:rsidR="00CA136E" w:rsidRPr="00737853">
        <w:rPr>
          <w:color w:val="auto"/>
          <w:sz w:val="20"/>
          <w:szCs w:val="20"/>
        </w:rPr>
        <w:t xml:space="preserve"> </w:t>
      </w:r>
    </w:p>
    <w:p w14:paraId="0A1D76F6" w14:textId="3382DE7E" w:rsidR="004C6117" w:rsidRPr="00EB32BB" w:rsidRDefault="004C6117" w:rsidP="00CA136E">
      <w:pPr>
        <w:pStyle w:val="Heading02"/>
        <w:keepNext w:val="0"/>
        <w:numPr>
          <w:ilvl w:val="0"/>
          <w:numId w:val="14"/>
        </w:numPr>
      </w:pPr>
      <w:bookmarkStart w:id="9" w:name="_Toc492567085"/>
      <w:r w:rsidRPr="00EB32BB">
        <w:t>Why Change?</w:t>
      </w:r>
      <w:bookmarkEnd w:id="7"/>
      <w:bookmarkEnd w:id="8"/>
      <w:bookmarkEnd w:id="9"/>
    </w:p>
    <w:p w14:paraId="276983AD" w14:textId="77777777" w:rsidR="00A13762" w:rsidRDefault="00D63847"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D3651A">
        <w:rPr>
          <w:rFonts w:ascii="Arial" w:eastAsia="Times New Roman" w:hAnsi="Arial" w:cs="Arial"/>
          <w:i w:val="0"/>
          <w:iCs w:val="0"/>
          <w:color w:val="008576"/>
          <w:sz w:val="24"/>
          <w:szCs w:val="28"/>
        </w:rPr>
        <w:t>306</w:t>
      </w:r>
    </w:p>
    <w:p w14:paraId="15ED4231" w14:textId="22609FBE" w:rsidR="007D49BC" w:rsidRDefault="00113A6E" w:rsidP="00113A6E">
      <w:pPr>
        <w:pStyle w:val="Heading2"/>
        <w:numPr>
          <w:ilvl w:val="1"/>
          <w:numId w:val="14"/>
        </w:numPr>
        <w:spacing w:before="240" w:after="60" w:line="360" w:lineRule="auto"/>
        <w:jc w:val="both"/>
        <w:rPr>
          <w:color w:val="auto"/>
          <w:sz w:val="20"/>
          <w:szCs w:val="20"/>
        </w:rPr>
      </w:pPr>
      <w:r>
        <w:rPr>
          <w:color w:val="auto"/>
          <w:sz w:val="20"/>
          <w:szCs w:val="20"/>
        </w:rPr>
        <w:t>The Proposer suggests that</w:t>
      </w:r>
      <w:r w:rsidR="00651C5F">
        <w:rPr>
          <w:color w:val="auto"/>
          <w:sz w:val="20"/>
          <w:szCs w:val="20"/>
        </w:rPr>
        <w:t xml:space="preserve"> the costs associated with the Ofgem licence fee are payable by all LDNOs but the derivation of the LDNO tariffs does not fully include this cost. Consequently, it is believed that LDNOs are not able to fully recover the costs incurred, or reasonably expected to be incurred in operating their distribution businesses.</w:t>
      </w:r>
    </w:p>
    <w:p w14:paraId="4A110A12" w14:textId="651BFC09" w:rsidR="00651C5F" w:rsidRDefault="00651C5F" w:rsidP="00113A6E">
      <w:pPr>
        <w:pStyle w:val="ListParagraph"/>
        <w:numPr>
          <w:ilvl w:val="1"/>
          <w:numId w:val="14"/>
        </w:numPr>
        <w:jc w:val="both"/>
      </w:pPr>
      <w:r>
        <w:t xml:space="preserve">As the Opex cost allocation driver does not take into account the Ofgem licence fee, the costs associated with the Ofgem licence fee are effectively smeared across all network levels. The resultant LDNO tariffs are not, therefore, reflective of the </w:t>
      </w:r>
      <w:r w:rsidR="003F1C1E">
        <w:t>costs incurred by the L</w:t>
      </w:r>
      <w:r>
        <w:t>DNO.</w:t>
      </w:r>
    </w:p>
    <w:p w14:paraId="0ABC3E31" w14:textId="4D765310" w:rsidR="00651C5F" w:rsidRDefault="00651C5F" w:rsidP="00113A6E">
      <w:pPr>
        <w:pStyle w:val="ListParagraph"/>
        <w:numPr>
          <w:ilvl w:val="1"/>
          <w:numId w:val="14"/>
        </w:numPr>
        <w:jc w:val="both"/>
      </w:pPr>
      <w:r>
        <w:t xml:space="preserve">This change proposal seeks to ensure that the LDNO tariffs better reflect the costs that are avoided by the DNO when customers are connected to their network via another </w:t>
      </w:r>
      <w:r w:rsidR="003F1C1E">
        <w:t>LDNO</w:t>
      </w:r>
      <w:r>
        <w:t xml:space="preserve">. </w:t>
      </w:r>
    </w:p>
    <w:p w14:paraId="72AA959F" w14:textId="4D8F9DAD" w:rsidR="00651C5F" w:rsidRDefault="00113A6E" w:rsidP="00113A6E">
      <w:pPr>
        <w:pStyle w:val="ListParagraph"/>
        <w:numPr>
          <w:ilvl w:val="1"/>
          <w:numId w:val="14"/>
        </w:numPr>
        <w:jc w:val="both"/>
      </w:pPr>
      <w:r>
        <w:t>The proposer suggests that b</w:t>
      </w:r>
      <w:r w:rsidR="00651C5F">
        <w:t>y allocating the Ofgem licence fee to th</w:t>
      </w:r>
      <w:r w:rsidR="003F1C1E">
        <w:t>e LV</w:t>
      </w:r>
      <w:r w:rsidR="00651C5F">
        <w:t xml:space="preserve"> services network level, the LDNO tariffs produced by the C</w:t>
      </w:r>
      <w:r w:rsidR="007E22A9">
        <w:t xml:space="preserve">ommon </w:t>
      </w:r>
      <w:r w:rsidR="00651C5F">
        <w:t>D</w:t>
      </w:r>
      <w:r w:rsidR="007E22A9">
        <w:t xml:space="preserve">istribution </w:t>
      </w:r>
      <w:r w:rsidR="00651C5F">
        <w:t>C</w:t>
      </w:r>
      <w:r w:rsidR="007E22A9">
        <w:t xml:space="preserve">harging </w:t>
      </w:r>
      <w:r w:rsidR="00651C5F">
        <w:t>M</w:t>
      </w:r>
      <w:r w:rsidR="007E22A9">
        <w:t>ethodology (CDCM)</w:t>
      </w:r>
      <w:r w:rsidR="00651C5F">
        <w:t xml:space="preserve"> will better reflect the mechanism by which these costs are incurred. This is consistent with the purpose of the PCDM and DCUSA Charging Objective 3.</w:t>
      </w:r>
    </w:p>
    <w:p w14:paraId="0DEF0648" w14:textId="77777777" w:rsidR="00651C5F" w:rsidRDefault="00651C5F" w:rsidP="00651C5F">
      <w:pPr>
        <w:pStyle w:val="ListParagraph"/>
        <w:ind w:left="576"/>
      </w:pPr>
    </w:p>
    <w:p w14:paraId="651B7123" w14:textId="77777777" w:rsidR="009D28E8" w:rsidRPr="00B52063" w:rsidRDefault="009D28E8" w:rsidP="009D28E8">
      <w:pPr>
        <w:pStyle w:val="Heading02"/>
        <w:numPr>
          <w:ilvl w:val="0"/>
          <w:numId w:val="14"/>
        </w:numPr>
      </w:pPr>
      <w:bookmarkStart w:id="10" w:name="_Toc492567086"/>
      <w:r>
        <w:t>Code Specific Matter</w:t>
      </w:r>
      <w:r w:rsidR="00345728">
        <w:t>s</w:t>
      </w:r>
      <w:bookmarkEnd w:id="10"/>
    </w:p>
    <w:p w14:paraId="68D02ED8" w14:textId="77777777" w:rsidR="009D28E8" w:rsidRDefault="009D28E8" w:rsidP="009D28E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Reference Documents</w:t>
      </w:r>
    </w:p>
    <w:p w14:paraId="15A1FA39" w14:textId="77777777" w:rsidR="007D49BC" w:rsidRDefault="00651C5F" w:rsidP="007D49BC">
      <w:pPr>
        <w:pStyle w:val="ListParagraph"/>
        <w:numPr>
          <w:ilvl w:val="1"/>
          <w:numId w:val="14"/>
        </w:numPr>
      </w:pPr>
      <w:r>
        <w:t>None</w:t>
      </w:r>
    </w:p>
    <w:p w14:paraId="020929D0" w14:textId="77777777" w:rsidR="00B52063" w:rsidRPr="00B52063" w:rsidRDefault="0007537E" w:rsidP="00CB2A38">
      <w:pPr>
        <w:pStyle w:val="Heading02"/>
        <w:numPr>
          <w:ilvl w:val="0"/>
          <w:numId w:val="14"/>
        </w:numPr>
      </w:pPr>
      <w:bookmarkStart w:id="11" w:name="_Toc492567087"/>
      <w:r>
        <w:t>Working Group Assessment</w:t>
      </w:r>
      <w:bookmarkEnd w:id="11"/>
      <w:r>
        <w:t xml:space="preserve"> </w:t>
      </w:r>
    </w:p>
    <w:p w14:paraId="3495C085" w14:textId="77777777" w:rsidR="0012717A" w:rsidRDefault="00335479" w:rsidP="0012717A">
      <w:pPr>
        <w:pStyle w:val="Heading4"/>
        <w:keepNext w:val="0"/>
        <w:keepLines w:val="0"/>
        <w:spacing w:before="240"/>
        <w:rPr>
          <w:rFonts w:ascii="Arial" w:eastAsia="Times New Roman" w:hAnsi="Arial" w:cs="Arial"/>
          <w:i w:val="0"/>
          <w:iCs w:val="0"/>
          <w:color w:val="008576"/>
          <w:sz w:val="24"/>
          <w:szCs w:val="28"/>
        </w:rPr>
      </w:pPr>
      <w:bookmarkStart w:id="12" w:name="_Toc318962139"/>
      <w:r>
        <w:rPr>
          <w:rFonts w:ascii="Arial" w:eastAsia="Times New Roman" w:hAnsi="Arial" w:cs="Arial"/>
          <w:i w:val="0"/>
          <w:iCs w:val="0"/>
          <w:color w:val="008576"/>
          <w:sz w:val="24"/>
          <w:szCs w:val="28"/>
        </w:rPr>
        <w:t xml:space="preserve">DCP </w:t>
      </w:r>
      <w:r w:rsidR="00D3651A">
        <w:rPr>
          <w:rFonts w:ascii="Arial" w:eastAsia="Times New Roman" w:hAnsi="Arial" w:cs="Arial"/>
          <w:i w:val="0"/>
          <w:iCs w:val="0"/>
          <w:color w:val="008576"/>
          <w:sz w:val="24"/>
          <w:szCs w:val="28"/>
        </w:rPr>
        <w:t>306</w:t>
      </w:r>
      <w:r w:rsidR="0039215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70076B62" w14:textId="54866A20" w:rsidR="004E5B3F" w:rsidRDefault="0012717A" w:rsidP="00113A6E">
      <w:pPr>
        <w:pStyle w:val="Heading2"/>
        <w:keepNext w:val="0"/>
        <w:numPr>
          <w:ilvl w:val="1"/>
          <w:numId w:val="14"/>
        </w:numPr>
        <w:spacing w:before="240" w:after="60" w:line="360" w:lineRule="auto"/>
        <w:jc w:val="both"/>
        <w:rPr>
          <w:color w:val="auto"/>
          <w:sz w:val="20"/>
          <w:szCs w:val="20"/>
        </w:rPr>
      </w:pPr>
      <w:r w:rsidRPr="00832598">
        <w:rPr>
          <w:color w:val="auto"/>
          <w:sz w:val="20"/>
          <w:szCs w:val="20"/>
        </w:rPr>
        <w:lastRenderedPageBreak/>
        <w:t>The DCUSA Panel established a</w:t>
      </w:r>
      <w:r w:rsidR="00651C5F">
        <w:rPr>
          <w:color w:val="auto"/>
          <w:sz w:val="20"/>
          <w:szCs w:val="20"/>
        </w:rPr>
        <w:t xml:space="preserve"> Working Group to assess DCP 306</w:t>
      </w:r>
      <w:r w:rsidRPr="00832598">
        <w:rPr>
          <w:color w:val="auto"/>
          <w:sz w:val="20"/>
          <w:szCs w:val="20"/>
        </w:rPr>
        <w:t xml:space="preserve">. This Working Group consists </w:t>
      </w:r>
      <w:r w:rsidR="009B449F">
        <w:rPr>
          <w:color w:val="auto"/>
          <w:sz w:val="20"/>
          <w:szCs w:val="20"/>
        </w:rPr>
        <w:t>of D</w:t>
      </w:r>
      <w:r w:rsidR="007E22A9">
        <w:rPr>
          <w:color w:val="auto"/>
          <w:sz w:val="20"/>
          <w:szCs w:val="20"/>
        </w:rPr>
        <w:t xml:space="preserve">istribution </w:t>
      </w:r>
      <w:r w:rsidR="009B449F">
        <w:rPr>
          <w:color w:val="auto"/>
          <w:sz w:val="20"/>
          <w:szCs w:val="20"/>
        </w:rPr>
        <w:t>N</w:t>
      </w:r>
      <w:r w:rsidR="007E22A9">
        <w:rPr>
          <w:color w:val="auto"/>
          <w:sz w:val="20"/>
          <w:szCs w:val="20"/>
        </w:rPr>
        <w:t xml:space="preserve">etwork </w:t>
      </w:r>
      <w:r w:rsidR="009B449F">
        <w:rPr>
          <w:color w:val="auto"/>
          <w:sz w:val="20"/>
          <w:szCs w:val="20"/>
        </w:rPr>
        <w:t>O</w:t>
      </w:r>
      <w:r w:rsidR="007E22A9">
        <w:rPr>
          <w:color w:val="auto"/>
          <w:sz w:val="20"/>
          <w:szCs w:val="20"/>
        </w:rPr>
        <w:t>perator (DNO)</w:t>
      </w:r>
      <w:r w:rsidR="00651C5F">
        <w:rPr>
          <w:color w:val="auto"/>
          <w:sz w:val="20"/>
          <w:szCs w:val="20"/>
        </w:rPr>
        <w:t xml:space="preserve"> and I</w:t>
      </w:r>
      <w:r w:rsidR="007E22A9">
        <w:rPr>
          <w:color w:val="auto"/>
          <w:sz w:val="20"/>
          <w:szCs w:val="20"/>
        </w:rPr>
        <w:t xml:space="preserve">ndependent </w:t>
      </w:r>
      <w:r w:rsidR="00651C5F">
        <w:rPr>
          <w:color w:val="auto"/>
          <w:sz w:val="20"/>
          <w:szCs w:val="20"/>
        </w:rPr>
        <w:t>D</w:t>
      </w:r>
      <w:r w:rsidR="007E22A9">
        <w:rPr>
          <w:color w:val="auto"/>
          <w:sz w:val="20"/>
          <w:szCs w:val="20"/>
        </w:rPr>
        <w:t xml:space="preserve">istribution </w:t>
      </w:r>
      <w:r w:rsidR="00651C5F">
        <w:rPr>
          <w:color w:val="auto"/>
          <w:sz w:val="20"/>
          <w:szCs w:val="20"/>
        </w:rPr>
        <w:t>N</w:t>
      </w:r>
      <w:r w:rsidR="007E22A9">
        <w:rPr>
          <w:color w:val="auto"/>
          <w:sz w:val="20"/>
          <w:szCs w:val="20"/>
        </w:rPr>
        <w:t xml:space="preserve">etwork </w:t>
      </w:r>
      <w:r w:rsidR="00651C5F">
        <w:rPr>
          <w:color w:val="auto"/>
          <w:sz w:val="20"/>
          <w:szCs w:val="20"/>
        </w:rPr>
        <w:t>O</w:t>
      </w:r>
      <w:r w:rsidR="007E22A9">
        <w:rPr>
          <w:color w:val="auto"/>
          <w:sz w:val="20"/>
          <w:szCs w:val="20"/>
        </w:rPr>
        <w:t>perator (IDNO)</w:t>
      </w:r>
      <w:r w:rsidR="009B449F">
        <w:rPr>
          <w:color w:val="auto"/>
          <w:sz w:val="20"/>
          <w:szCs w:val="20"/>
        </w:rPr>
        <w:t xml:space="preserve"> 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9" w:history="1">
        <w:r w:rsidRPr="00832598">
          <w:rPr>
            <w:color w:val="auto"/>
            <w:sz w:val="20"/>
            <w:szCs w:val="20"/>
          </w:rPr>
          <w:t>www.dcusa.co.uk</w:t>
        </w:r>
      </w:hyperlink>
      <w:r w:rsidRPr="00832598">
        <w:rPr>
          <w:color w:val="auto"/>
          <w:sz w:val="20"/>
          <w:szCs w:val="20"/>
        </w:rPr>
        <w:t>.</w:t>
      </w:r>
    </w:p>
    <w:p w14:paraId="67AF80DD" w14:textId="01FB1116" w:rsidR="005C20E9" w:rsidRDefault="005C20E9" w:rsidP="00DD4698">
      <w:pPr>
        <w:pStyle w:val="ListParagraph"/>
        <w:numPr>
          <w:ilvl w:val="1"/>
          <w:numId w:val="14"/>
        </w:numPr>
        <w:jc w:val="both"/>
      </w:pPr>
      <w:r>
        <w:t>The rationale for this</w:t>
      </w:r>
      <w:r w:rsidR="003F1C1E">
        <w:t xml:space="preserve"> CP being raised is because currently</w:t>
      </w:r>
      <w:r w:rsidR="00FE4C2F">
        <w:t xml:space="preserve"> the</w:t>
      </w:r>
      <w:r w:rsidR="003F1C1E">
        <w:t xml:space="preserve"> Ofgem licence fees</w:t>
      </w:r>
      <w:r w:rsidR="00E26639">
        <w:t xml:space="preserve"> form part of residual charges </w:t>
      </w:r>
      <w:r w:rsidR="007E22A9">
        <w:t xml:space="preserve">when calculating the </w:t>
      </w:r>
      <w:r w:rsidR="005373FB">
        <w:t>CDCM tariffs</w:t>
      </w:r>
      <w:r w:rsidR="00DD4698">
        <w:t xml:space="preserve"> and as such is not a separate cost element within the PCDM</w:t>
      </w:r>
      <w:r w:rsidR="003F1C1E">
        <w:t xml:space="preserve">. This change will be looking to review the impacts of changing this </w:t>
      </w:r>
      <w:r w:rsidR="007E22A9">
        <w:t xml:space="preserve">i.e. allocating the </w:t>
      </w:r>
      <w:r w:rsidR="00FE4C2F">
        <w:t xml:space="preserve">licence </w:t>
      </w:r>
      <w:r w:rsidR="007E22A9">
        <w:t xml:space="preserve">fee either by, as the Proposer suggest, a </w:t>
      </w:r>
      <w:r w:rsidR="003F1C1E">
        <w:t xml:space="preserve">100% </w:t>
      </w:r>
      <w:r w:rsidR="007E22A9">
        <w:t xml:space="preserve">allocation </w:t>
      </w:r>
      <w:r w:rsidR="003F1C1E">
        <w:t xml:space="preserve">to </w:t>
      </w:r>
      <w:r w:rsidR="007E22A9">
        <w:t xml:space="preserve">the </w:t>
      </w:r>
      <w:r w:rsidR="003F1C1E">
        <w:t>LV service level</w:t>
      </w:r>
      <w:r w:rsidR="007E22A9">
        <w:t xml:space="preserve"> or alternatively allocated across each voltage level</w:t>
      </w:r>
      <w:r w:rsidR="00FE4C2F">
        <w:t xml:space="preserve"> within the PDCM</w:t>
      </w:r>
      <w:r w:rsidR="003F1C1E">
        <w:t xml:space="preserve">. </w:t>
      </w:r>
      <w:r w:rsidR="007E22A9">
        <w:t xml:space="preserve"> A</w:t>
      </w:r>
      <w:r w:rsidR="003F1C1E">
        <w:t>ll other aspects of Opex would be unchanged.</w:t>
      </w:r>
    </w:p>
    <w:p w14:paraId="499E3D2D" w14:textId="6B1624A6" w:rsidR="007E22A9" w:rsidRDefault="007E22A9" w:rsidP="00113A6E">
      <w:pPr>
        <w:pStyle w:val="ListParagraph"/>
        <w:numPr>
          <w:ilvl w:val="1"/>
          <w:numId w:val="14"/>
        </w:numPr>
        <w:jc w:val="both"/>
      </w:pPr>
      <w:r>
        <w:t xml:space="preserve">The Working Group considered how the </w:t>
      </w:r>
      <w:r w:rsidR="00FE4C2F">
        <w:t xml:space="preserve">licence fee </w:t>
      </w:r>
      <w:r>
        <w:t>is currently derived and then subsequently allocated with the CDCM.  It was determined that Ofgem charge each DNO a licence fee on a £/MPAN basis. This is then recovered as part of the residual charging calculation when deriving the all the way tariffs in the CDCM.</w:t>
      </w:r>
      <w:r w:rsidR="001D42E7">
        <w:t xml:space="preserve"> </w:t>
      </w:r>
      <w:r>
        <w:t xml:space="preserve"> </w:t>
      </w:r>
      <w:r w:rsidR="001D42E7">
        <w:t>It was confirmed that since the change is in the PCDM there would be no impact on the all the way tariffs and as such no impact on end customers.</w:t>
      </w:r>
    </w:p>
    <w:p w14:paraId="70E3B1FB" w14:textId="3B955919" w:rsidR="001D42E7" w:rsidRDefault="001D42E7" w:rsidP="00DF268B">
      <w:pPr>
        <w:pStyle w:val="ListParagraph"/>
        <w:numPr>
          <w:ilvl w:val="1"/>
          <w:numId w:val="14"/>
        </w:numPr>
        <w:jc w:val="both"/>
      </w:pPr>
      <w:r>
        <w:t xml:space="preserve">The Working Group considered whether a more appropriate change would be to the CDCM by taking the </w:t>
      </w:r>
      <w:r w:rsidR="00745C95">
        <w:t xml:space="preserve">licence </w:t>
      </w:r>
      <w:r>
        <w:t xml:space="preserve">fee out of residual charges and within the methodology itself. This was discounted since it would not align with the intent. </w:t>
      </w:r>
    </w:p>
    <w:p w14:paraId="30F7941A" w14:textId="667ED24F" w:rsidR="00DF268B" w:rsidRDefault="00DF268B" w:rsidP="00DF268B">
      <w:pPr>
        <w:pStyle w:val="ListParagraph"/>
        <w:numPr>
          <w:ilvl w:val="1"/>
          <w:numId w:val="14"/>
        </w:numPr>
        <w:jc w:val="both"/>
      </w:pPr>
      <w:r>
        <w:t>The timing of the change was questioned as, on 4 August Ofgem launched a Targeted Charging Review Significant Code Review (SCR). One of the key areas within this SCR covers residual charging. It was discussed whether it would be more practicable to progress the proposed change as part of the wider CDCM Review or as part of the SCR.</w:t>
      </w:r>
    </w:p>
    <w:p w14:paraId="460FA430" w14:textId="4BFED7AF" w:rsidR="00DF268B" w:rsidRDefault="00DF268B" w:rsidP="00DF268B">
      <w:pPr>
        <w:pStyle w:val="ListParagraph"/>
        <w:numPr>
          <w:ilvl w:val="1"/>
          <w:numId w:val="14"/>
        </w:numPr>
        <w:jc w:val="both"/>
      </w:pPr>
      <w:r>
        <w:t xml:space="preserve">It was decided that as the change is specifically looking at the PCDM, the Working Group would not be able to include CDCM or EHV Distribution Charging Model (EDCM) amendments in their solutions as it would change the intent of the proposal. Therefore, there shouldn’t be any impact on the SCR. </w:t>
      </w:r>
    </w:p>
    <w:p w14:paraId="30565D13" w14:textId="5CD3166A" w:rsidR="00393BC8" w:rsidRDefault="001D42E7" w:rsidP="00113A6E">
      <w:pPr>
        <w:pStyle w:val="ListParagraph"/>
        <w:numPr>
          <w:ilvl w:val="1"/>
          <w:numId w:val="14"/>
        </w:numPr>
        <w:jc w:val="both"/>
      </w:pPr>
      <w:r>
        <w:t>The Working Group then considered whether the allocation within the PCDM should only be applied to the LV network level and whether it may be</w:t>
      </w:r>
      <w:r w:rsidR="006A395F">
        <w:t xml:space="preserve"> even</w:t>
      </w:r>
      <w:r>
        <w:t xml:space="preserve"> more cost reflective if the allocation of the </w:t>
      </w:r>
      <w:r w:rsidR="00DD4698">
        <w:t xml:space="preserve">licence </w:t>
      </w:r>
      <w:r>
        <w:t>fee was placed against each network level</w:t>
      </w:r>
      <w:r w:rsidR="00DF268B">
        <w:t xml:space="preserve">. The </w:t>
      </w:r>
      <w:r w:rsidR="00DD4698">
        <w:t xml:space="preserve">Working Group agreed to seek the </w:t>
      </w:r>
      <w:r w:rsidR="00DF268B">
        <w:t xml:space="preserve">views of </w:t>
      </w:r>
      <w:r w:rsidR="00DD4698">
        <w:t>P</w:t>
      </w:r>
      <w:r w:rsidR="00DF268B">
        <w:t xml:space="preserve">arties </w:t>
      </w:r>
      <w:r w:rsidR="00DD4698">
        <w:t xml:space="preserve">on this matter to </w:t>
      </w:r>
      <w:r w:rsidR="00DF268B">
        <w:t>define the solution</w:t>
      </w:r>
      <w:r w:rsidR="00DD4698">
        <w:t>.</w:t>
      </w:r>
      <w:r w:rsidR="00745C95">
        <w:t xml:space="preserve"> </w:t>
      </w:r>
    </w:p>
    <w:p w14:paraId="60AAE732" w14:textId="0F95F5DA" w:rsidR="002F0D77" w:rsidRDefault="00BD4335" w:rsidP="00635FC4">
      <w:pPr>
        <w:pStyle w:val="ListParagraph"/>
        <w:numPr>
          <w:ilvl w:val="1"/>
          <w:numId w:val="14"/>
        </w:numPr>
        <w:jc w:val="both"/>
      </w:pPr>
      <w:r>
        <w:t>The Proposer is suggesting that the c</w:t>
      </w:r>
      <w:r w:rsidRPr="00BD4335">
        <w:t>osts described in table 2.6 of the 2007/2008 R</w:t>
      </w:r>
      <w:r w:rsidR="00635FC4">
        <w:t xml:space="preserve">egulatory </w:t>
      </w:r>
      <w:r w:rsidRPr="00BD4335">
        <w:t>R</w:t>
      </w:r>
      <w:r w:rsidR="00635FC4">
        <w:t xml:space="preserve">eporting </w:t>
      </w:r>
      <w:r w:rsidRPr="00BD4335">
        <w:t>P</w:t>
      </w:r>
      <w:r w:rsidR="00635FC4">
        <w:t>ack (RRP)</w:t>
      </w:r>
      <w:r w:rsidRPr="00BD4335">
        <w:t xml:space="preserve"> as “Ofgem licence fees” </w:t>
      </w:r>
      <w:r>
        <w:t xml:space="preserve">be used. The reasoning for this is that it matches the rest of the data source being used within the PDCM. A counter argument was that it may be more cost reflect to use the latest </w:t>
      </w:r>
      <w:r w:rsidR="00DD4698">
        <w:t xml:space="preserve">licence fee </w:t>
      </w:r>
      <w:r>
        <w:t xml:space="preserve">costs rather than the ones that are </w:t>
      </w:r>
      <w:r w:rsidR="00635FC4">
        <w:t xml:space="preserve">ten years old. The Working Group were of the view that for consistency the 2007/2008 RRP should be used as it aligns with how the rest of the operational costs have been allocated within the PDCM. </w:t>
      </w:r>
    </w:p>
    <w:p w14:paraId="2893E20F" w14:textId="01AB9E45" w:rsidR="00DF268B" w:rsidRDefault="00DF268B" w:rsidP="00DF268B">
      <w:pPr>
        <w:pStyle w:val="ListParagraph"/>
        <w:numPr>
          <w:ilvl w:val="1"/>
          <w:numId w:val="14"/>
        </w:numPr>
        <w:jc w:val="both"/>
      </w:pPr>
      <w:r>
        <w:t>The Working Group sought industry views in the first consultation on:</w:t>
      </w:r>
    </w:p>
    <w:p w14:paraId="4E46B75B" w14:textId="200AD38B" w:rsidR="00DF268B" w:rsidRDefault="00DF268B" w:rsidP="00DF268B">
      <w:pPr>
        <w:pStyle w:val="ListParagraph"/>
        <w:numPr>
          <w:ilvl w:val="2"/>
          <w:numId w:val="14"/>
        </w:numPr>
        <w:ind w:left="1560" w:hanging="851"/>
        <w:jc w:val="both"/>
      </w:pPr>
      <w:r>
        <w:t>Whether the SCR or CDCM Review work is a more appropriate work stream to review this issue;</w:t>
      </w:r>
    </w:p>
    <w:p w14:paraId="0FF567ED" w14:textId="2CF9C6C4" w:rsidR="00DF268B" w:rsidRDefault="001532A3" w:rsidP="00DF268B">
      <w:pPr>
        <w:pStyle w:val="ListParagraph"/>
        <w:numPr>
          <w:ilvl w:val="2"/>
          <w:numId w:val="14"/>
        </w:numPr>
        <w:ind w:left="1560" w:hanging="851"/>
        <w:jc w:val="both"/>
      </w:pPr>
      <w:r>
        <w:t>Is it</w:t>
      </w:r>
      <w:r w:rsidR="00DF268B">
        <w:t xml:space="preserve"> more appropriate to allocate the </w:t>
      </w:r>
      <w:r w:rsidR="00DD4698">
        <w:t xml:space="preserve">licence fee </w:t>
      </w:r>
      <w:r w:rsidR="00DF268B">
        <w:t xml:space="preserve">at each voltage level or just at the LV network level, and if so is the data on customer numbers at each voltage level easily identified.; and </w:t>
      </w:r>
    </w:p>
    <w:p w14:paraId="48A41B2A" w14:textId="2D566611" w:rsidR="00DF268B" w:rsidRDefault="00DF268B" w:rsidP="001532A3">
      <w:pPr>
        <w:pStyle w:val="ListParagraph"/>
        <w:numPr>
          <w:ilvl w:val="2"/>
          <w:numId w:val="14"/>
        </w:numPr>
        <w:ind w:left="1560" w:hanging="851"/>
        <w:jc w:val="both"/>
      </w:pPr>
      <w:r w:rsidRPr="001532A3">
        <w:rPr>
          <w:szCs w:val="20"/>
        </w:rPr>
        <w:t>Is the 2007/08 data the best data set to use or is there a better data source that could be utilised?</w:t>
      </w:r>
    </w:p>
    <w:p w14:paraId="58414258" w14:textId="1755B7FA" w:rsidR="008C4954" w:rsidRDefault="007A1530" w:rsidP="008C4954">
      <w:pPr>
        <w:rPr>
          <w:b/>
          <w:color w:val="339966"/>
          <w:sz w:val="24"/>
        </w:rPr>
      </w:pPr>
      <w:r>
        <w:rPr>
          <w:b/>
          <w:color w:val="339966"/>
          <w:sz w:val="24"/>
        </w:rPr>
        <w:lastRenderedPageBreak/>
        <w:t>First Consultation</w:t>
      </w:r>
    </w:p>
    <w:p w14:paraId="7168664F" w14:textId="5D78EA6A" w:rsidR="00E221D1" w:rsidRDefault="007A1530" w:rsidP="00E221D1">
      <w:pPr>
        <w:pStyle w:val="ListParagraph"/>
        <w:numPr>
          <w:ilvl w:val="1"/>
          <w:numId w:val="14"/>
        </w:numPr>
        <w:rPr>
          <w:szCs w:val="20"/>
        </w:rPr>
      </w:pPr>
      <w:r w:rsidRPr="007A1530">
        <w:rPr>
          <w:szCs w:val="20"/>
        </w:rPr>
        <w:t>To aid the further develop</w:t>
      </w:r>
      <w:r w:rsidR="00711658">
        <w:rPr>
          <w:szCs w:val="20"/>
        </w:rPr>
        <w:t xml:space="preserve">ment of the solution for </w:t>
      </w:r>
      <w:r w:rsidR="00DD4698">
        <w:rPr>
          <w:szCs w:val="20"/>
        </w:rPr>
        <w:t>this CP</w:t>
      </w:r>
      <w:r w:rsidRPr="007A1530">
        <w:rPr>
          <w:szCs w:val="20"/>
        </w:rPr>
        <w:t>, the Working Group issue</w:t>
      </w:r>
      <w:r w:rsidR="00711658">
        <w:rPr>
          <w:szCs w:val="20"/>
        </w:rPr>
        <w:t>d</w:t>
      </w:r>
      <w:r w:rsidRPr="007A1530">
        <w:rPr>
          <w:szCs w:val="20"/>
        </w:rPr>
        <w:t xml:space="preserve"> a consultation to Parties</w:t>
      </w:r>
      <w:r w:rsidR="00711658">
        <w:rPr>
          <w:szCs w:val="20"/>
        </w:rPr>
        <w:t xml:space="preserve"> on 18 September 2017</w:t>
      </w:r>
      <w:r w:rsidRPr="007A1530">
        <w:rPr>
          <w:szCs w:val="20"/>
        </w:rPr>
        <w:t>.</w:t>
      </w:r>
      <w:r w:rsidR="00711658">
        <w:rPr>
          <w:szCs w:val="20"/>
        </w:rPr>
        <w:t xml:space="preserve"> The aim of the first consultation was to ask the industry for their views on the principles of the change.</w:t>
      </w:r>
      <w:r w:rsidR="00FF48CF">
        <w:rPr>
          <w:szCs w:val="20"/>
        </w:rPr>
        <w:t xml:space="preserve"> </w:t>
      </w:r>
      <w:r w:rsidR="00E221D1">
        <w:rPr>
          <w:szCs w:val="20"/>
        </w:rPr>
        <w:t xml:space="preserve">There were six responses to the first consultation comprising of four DNOs and two IDNOs. </w:t>
      </w:r>
      <w:r w:rsidR="00FF48CF">
        <w:rPr>
          <w:szCs w:val="20"/>
        </w:rPr>
        <w:t>A</w:t>
      </w:r>
      <w:r w:rsidR="00172A66">
        <w:rPr>
          <w:szCs w:val="20"/>
        </w:rPr>
        <w:t xml:space="preserve"> copy of the first consultation as well as a</w:t>
      </w:r>
      <w:r w:rsidR="00FF48CF">
        <w:rPr>
          <w:szCs w:val="20"/>
        </w:rPr>
        <w:t xml:space="preserve"> summary of the consultation responses </w:t>
      </w:r>
      <w:r w:rsidR="000F2C8E">
        <w:rPr>
          <w:szCs w:val="20"/>
        </w:rPr>
        <w:t>and the Working Group conclusions</w:t>
      </w:r>
      <w:r w:rsidR="001532A3">
        <w:rPr>
          <w:szCs w:val="20"/>
        </w:rPr>
        <w:t xml:space="preserve"> </w:t>
      </w:r>
      <w:r w:rsidR="00FF48CF">
        <w:rPr>
          <w:szCs w:val="20"/>
        </w:rPr>
        <w:t xml:space="preserve">can be found as </w:t>
      </w:r>
      <w:r w:rsidR="00FF48CF" w:rsidRPr="00FF48CF">
        <w:rPr>
          <w:szCs w:val="20"/>
          <w:highlight w:val="yellow"/>
        </w:rPr>
        <w:t xml:space="preserve">Attachment </w:t>
      </w:r>
      <w:r w:rsidR="009A1FC2">
        <w:rPr>
          <w:szCs w:val="20"/>
          <w:highlight w:val="yellow"/>
        </w:rPr>
        <w:t>2</w:t>
      </w:r>
      <w:r w:rsidR="00FF48CF">
        <w:rPr>
          <w:szCs w:val="20"/>
        </w:rPr>
        <w:t>.</w:t>
      </w:r>
    </w:p>
    <w:p w14:paraId="04641999" w14:textId="3D3DC671" w:rsidR="003A3EEB" w:rsidRDefault="00E87064" w:rsidP="00E221D1">
      <w:pPr>
        <w:pStyle w:val="ListParagraph"/>
        <w:numPr>
          <w:ilvl w:val="1"/>
          <w:numId w:val="14"/>
        </w:numPr>
        <w:rPr>
          <w:szCs w:val="20"/>
        </w:rPr>
      </w:pPr>
      <w:r>
        <w:rPr>
          <w:szCs w:val="20"/>
        </w:rPr>
        <w:t xml:space="preserve">All respondents agreed that they understood and agreed with the principles and intent of the change. However, one DNO respondent highlighted that they did not agree with how the </w:t>
      </w:r>
      <w:r w:rsidR="00214FF5">
        <w:rPr>
          <w:szCs w:val="20"/>
        </w:rPr>
        <w:t xml:space="preserve">Proposer </w:t>
      </w:r>
      <w:r>
        <w:rPr>
          <w:szCs w:val="20"/>
        </w:rPr>
        <w:t xml:space="preserve">suggests that the Ofgem </w:t>
      </w:r>
      <w:r w:rsidR="00214FF5">
        <w:rPr>
          <w:szCs w:val="20"/>
        </w:rPr>
        <w:t xml:space="preserve">licence fees </w:t>
      </w:r>
      <w:r>
        <w:rPr>
          <w:szCs w:val="20"/>
        </w:rPr>
        <w:t xml:space="preserve">for a DNO are determined by MPANs. The Working Group accepted the comments made by the DNO on how the costs are produced by Ofgem, however, the CP is looking at allocating the Ofgem </w:t>
      </w:r>
      <w:r w:rsidR="00214FF5">
        <w:rPr>
          <w:szCs w:val="20"/>
        </w:rPr>
        <w:t xml:space="preserve">licence fees </w:t>
      </w:r>
      <w:r>
        <w:rPr>
          <w:szCs w:val="20"/>
        </w:rPr>
        <w:t xml:space="preserve">on a £/MPAN basis which is moving from a fixed </w:t>
      </w:r>
      <w:r w:rsidR="003B65A6">
        <w:rPr>
          <w:szCs w:val="20"/>
        </w:rPr>
        <w:t>cost to unit cost method and is not a like for like for what currently happens.</w:t>
      </w:r>
      <w:r w:rsidR="00DA5836">
        <w:rPr>
          <w:szCs w:val="20"/>
        </w:rPr>
        <w:t xml:space="preserve"> Although the Working Group acknowledged the comments made by the respondents, they still wish to continue with the original principles of the change as they believe the solution will provide better cost reflectivity.</w:t>
      </w:r>
    </w:p>
    <w:p w14:paraId="519EA40D" w14:textId="7145C325" w:rsidR="00DA5836" w:rsidRDefault="00DA5836" w:rsidP="00E221D1">
      <w:pPr>
        <w:pStyle w:val="ListParagraph"/>
        <w:numPr>
          <w:ilvl w:val="1"/>
          <w:numId w:val="14"/>
        </w:numPr>
        <w:rPr>
          <w:szCs w:val="20"/>
        </w:rPr>
      </w:pPr>
      <w:r>
        <w:rPr>
          <w:szCs w:val="20"/>
        </w:rPr>
        <w:t xml:space="preserve">The first consultation also sought industry views on how the Ofgem </w:t>
      </w:r>
      <w:r w:rsidR="00214FF5">
        <w:rPr>
          <w:szCs w:val="20"/>
        </w:rPr>
        <w:t xml:space="preserve">licence fees </w:t>
      </w:r>
      <w:r>
        <w:rPr>
          <w:szCs w:val="20"/>
        </w:rPr>
        <w:t>sh</w:t>
      </w:r>
      <w:r w:rsidR="000A4B7C">
        <w:rPr>
          <w:szCs w:val="20"/>
        </w:rPr>
        <w:t xml:space="preserve">ould be allocated with the PCDM and whether it should be at LV voltage level or be allocated at each voltage level based on the number of customers connected at each. </w:t>
      </w:r>
      <w:r w:rsidR="005B31AC">
        <w:rPr>
          <w:szCs w:val="20"/>
        </w:rPr>
        <w:t xml:space="preserve">The majority of </w:t>
      </w:r>
      <w:r w:rsidR="002111BF">
        <w:rPr>
          <w:szCs w:val="20"/>
        </w:rPr>
        <w:t xml:space="preserve">Parties that responded to the consultation wanted to allocate the Ofgem </w:t>
      </w:r>
      <w:r w:rsidR="00214FF5">
        <w:rPr>
          <w:szCs w:val="20"/>
        </w:rPr>
        <w:t xml:space="preserve">licence fees </w:t>
      </w:r>
      <w:r w:rsidR="002111BF">
        <w:rPr>
          <w:szCs w:val="20"/>
        </w:rPr>
        <w:t>at various voltage levels</w:t>
      </w:r>
      <w:r w:rsidR="00214FF5">
        <w:rPr>
          <w:szCs w:val="20"/>
        </w:rPr>
        <w:t xml:space="preserve">. </w:t>
      </w:r>
    </w:p>
    <w:p w14:paraId="5906D5A4" w14:textId="2E4D9E6F" w:rsidR="00E94870" w:rsidRPr="00E221D1" w:rsidRDefault="00E94870" w:rsidP="00E221D1">
      <w:pPr>
        <w:pStyle w:val="ListParagraph"/>
        <w:numPr>
          <w:ilvl w:val="1"/>
          <w:numId w:val="14"/>
        </w:numPr>
        <w:rPr>
          <w:szCs w:val="20"/>
        </w:rPr>
      </w:pPr>
      <w:r>
        <w:rPr>
          <w:szCs w:val="20"/>
        </w:rPr>
        <w:t xml:space="preserve">Respondents </w:t>
      </w:r>
      <w:r w:rsidR="00214FF5">
        <w:rPr>
          <w:szCs w:val="20"/>
        </w:rPr>
        <w:t>also</w:t>
      </w:r>
      <w:r>
        <w:rPr>
          <w:szCs w:val="20"/>
        </w:rPr>
        <w:t xml:space="preserve"> highlighted that the Working Group would need to be cautious about the outputs from Ofgem’s Charging Future’s Forum (CFF) and their subsequent task forces that have been organised. </w:t>
      </w:r>
      <w:r w:rsidDel="00214FF5">
        <w:rPr>
          <w:szCs w:val="20"/>
        </w:rPr>
        <w:t xml:space="preserve">The Working Group recognise that the change is in the gift of the Proposer and </w:t>
      </w:r>
      <w:r w:rsidR="00A45862">
        <w:rPr>
          <w:szCs w:val="20"/>
        </w:rPr>
        <w:t>unless directed otherwise by the Authority the CP will progress since the change impacts the PDCM and not the CDCM</w:t>
      </w:r>
    </w:p>
    <w:p w14:paraId="5B4A4B02" w14:textId="4261F735" w:rsidR="00D630E4" w:rsidRDefault="00214FF5" w:rsidP="00D630E4">
      <w:pPr>
        <w:rPr>
          <w:szCs w:val="20"/>
        </w:rPr>
      </w:pPr>
      <w:r>
        <w:rPr>
          <w:szCs w:val="20"/>
        </w:rPr>
        <w:t>Working Group Conclusions</w:t>
      </w:r>
    </w:p>
    <w:p w14:paraId="2B362E5A" w14:textId="04D1B906" w:rsidR="00214FF5" w:rsidRDefault="00214FF5" w:rsidP="00214FF5">
      <w:pPr>
        <w:pStyle w:val="ListParagraph"/>
        <w:numPr>
          <w:ilvl w:val="1"/>
          <w:numId w:val="14"/>
        </w:numPr>
        <w:rPr>
          <w:szCs w:val="20"/>
        </w:rPr>
      </w:pPr>
      <w:r>
        <w:rPr>
          <w:szCs w:val="20"/>
        </w:rPr>
        <w:t xml:space="preserve">The Working Group identified </w:t>
      </w:r>
      <w:r w:rsidR="00E9544C">
        <w:rPr>
          <w:szCs w:val="20"/>
        </w:rPr>
        <w:t>t</w:t>
      </w:r>
      <w:r>
        <w:rPr>
          <w:szCs w:val="20"/>
        </w:rPr>
        <w:t>wo areas of further work having discussed the Parties</w:t>
      </w:r>
      <w:r w:rsidR="00E9544C">
        <w:rPr>
          <w:szCs w:val="20"/>
        </w:rPr>
        <w:t>’</w:t>
      </w:r>
      <w:r>
        <w:rPr>
          <w:szCs w:val="20"/>
        </w:rPr>
        <w:t xml:space="preserve"> response</w:t>
      </w:r>
      <w:r w:rsidR="00E9544C">
        <w:rPr>
          <w:szCs w:val="20"/>
        </w:rPr>
        <w:t>s</w:t>
      </w:r>
      <w:r>
        <w:rPr>
          <w:szCs w:val="20"/>
        </w:rPr>
        <w:t xml:space="preserve"> to the first consultation:</w:t>
      </w:r>
    </w:p>
    <w:p w14:paraId="0881B383" w14:textId="394E07B2" w:rsidR="00214FF5" w:rsidRDefault="00E9544C" w:rsidP="00214FF5">
      <w:pPr>
        <w:pStyle w:val="ListParagraph"/>
        <w:numPr>
          <w:ilvl w:val="2"/>
          <w:numId w:val="14"/>
        </w:numPr>
        <w:ind w:left="1418" w:hanging="851"/>
        <w:rPr>
          <w:szCs w:val="20"/>
        </w:rPr>
      </w:pPr>
      <w:r>
        <w:rPr>
          <w:szCs w:val="20"/>
        </w:rPr>
        <w:t xml:space="preserve">Identify </w:t>
      </w:r>
      <w:r w:rsidR="00214FF5">
        <w:rPr>
          <w:szCs w:val="20"/>
        </w:rPr>
        <w:t xml:space="preserve">the number of customers at each voltage level </w:t>
      </w:r>
      <w:r>
        <w:rPr>
          <w:szCs w:val="20"/>
        </w:rPr>
        <w:t xml:space="preserve">in order to determine whether it is more appropriate to allocate the LV licence fee at each voltage level or just at the LV network level; and </w:t>
      </w:r>
    </w:p>
    <w:p w14:paraId="018A025F" w14:textId="46BB8470" w:rsidR="00E9544C" w:rsidRDefault="00E9544C" w:rsidP="005373FB">
      <w:pPr>
        <w:pStyle w:val="ListParagraph"/>
        <w:numPr>
          <w:ilvl w:val="2"/>
          <w:numId w:val="14"/>
        </w:numPr>
        <w:ind w:left="1418" w:hanging="851"/>
        <w:rPr>
          <w:szCs w:val="20"/>
        </w:rPr>
      </w:pPr>
      <w:r>
        <w:rPr>
          <w:szCs w:val="20"/>
        </w:rPr>
        <w:t xml:space="preserve">Review the papers submitted to the CFF which where </w:t>
      </w:r>
      <w:r w:rsidR="00A45862">
        <w:rPr>
          <w:szCs w:val="20"/>
        </w:rPr>
        <w:t>distributed</w:t>
      </w:r>
      <w:r>
        <w:rPr>
          <w:szCs w:val="20"/>
        </w:rPr>
        <w:t xml:space="preserve"> since the first consultation.</w:t>
      </w:r>
    </w:p>
    <w:p w14:paraId="43557DA0" w14:textId="667255B7" w:rsidR="00214FF5" w:rsidRDefault="00E9544C" w:rsidP="00214FF5">
      <w:pPr>
        <w:pStyle w:val="ListParagraph"/>
        <w:numPr>
          <w:ilvl w:val="1"/>
          <w:numId w:val="14"/>
        </w:numPr>
        <w:rPr>
          <w:szCs w:val="20"/>
        </w:rPr>
      </w:pPr>
      <w:r>
        <w:rPr>
          <w:szCs w:val="20"/>
        </w:rPr>
        <w:t>Parties supported the allocation of the licence fee at each voltage level from a cost reflectivity perspective. A Working Group member suggested that we should identify the number of customers at each voltage level. This was requested from the DNO community which determined that 99.8% of customers are connected at the LV network level (</w:t>
      </w:r>
      <w:r w:rsidR="00A45862">
        <w:rPr>
          <w:szCs w:val="20"/>
        </w:rPr>
        <w:t>A</w:t>
      </w:r>
      <w:r>
        <w:rPr>
          <w:szCs w:val="20"/>
        </w:rPr>
        <w:t xml:space="preserve">ttachment </w:t>
      </w:r>
      <w:r w:rsidR="009A1FC2">
        <w:rPr>
          <w:szCs w:val="20"/>
        </w:rPr>
        <w:t>3</w:t>
      </w:r>
      <w:r>
        <w:rPr>
          <w:szCs w:val="20"/>
        </w:rPr>
        <w:t xml:space="preserve">). </w:t>
      </w:r>
      <w:r w:rsidR="00A45862">
        <w:rPr>
          <w:szCs w:val="20"/>
        </w:rPr>
        <w:t>The Working Group concluded that from a pragmatic point of view</w:t>
      </w:r>
      <w:r>
        <w:rPr>
          <w:szCs w:val="20"/>
        </w:rPr>
        <w:t xml:space="preserve"> </w:t>
      </w:r>
      <w:r w:rsidR="00A45862">
        <w:rPr>
          <w:szCs w:val="20"/>
        </w:rPr>
        <w:t xml:space="preserve">it may be sensible to allocate at the LV network level rather than at each voltage level. This would reduce cost reflectivity but improve </w:t>
      </w:r>
      <w:r w:rsidR="005373FB">
        <w:rPr>
          <w:szCs w:val="20"/>
        </w:rPr>
        <w:t>simplicity.</w:t>
      </w:r>
    </w:p>
    <w:p w14:paraId="3EA97A5F" w14:textId="3565E61D" w:rsidR="00214FF5" w:rsidRDefault="00A45862" w:rsidP="00214FF5">
      <w:pPr>
        <w:pStyle w:val="ListParagraph"/>
        <w:numPr>
          <w:ilvl w:val="1"/>
          <w:numId w:val="14"/>
        </w:numPr>
        <w:rPr>
          <w:szCs w:val="20"/>
        </w:rPr>
      </w:pPr>
      <w:r>
        <w:rPr>
          <w:szCs w:val="20"/>
        </w:rPr>
        <w:t>Ofgem issued two papers in advance of the CFF:</w:t>
      </w:r>
    </w:p>
    <w:p w14:paraId="2139BD01" w14:textId="1782EB59" w:rsidR="00A45862" w:rsidRDefault="005D12F7" w:rsidP="009C0C5C">
      <w:pPr>
        <w:pStyle w:val="ListParagraph"/>
        <w:numPr>
          <w:ilvl w:val="2"/>
          <w:numId w:val="14"/>
        </w:numPr>
        <w:ind w:left="1418" w:hanging="851"/>
        <w:rPr>
          <w:szCs w:val="20"/>
        </w:rPr>
      </w:pPr>
      <w:hyperlink r:id="rId20" w:history="1">
        <w:r w:rsidR="00C35840" w:rsidRPr="00C35840">
          <w:rPr>
            <w:rStyle w:val="Hyperlink"/>
            <w:szCs w:val="20"/>
          </w:rPr>
          <w:t>Targeted Charging Review working paper</w:t>
        </w:r>
      </w:hyperlink>
      <w:r w:rsidR="00C35840">
        <w:rPr>
          <w:szCs w:val="20"/>
        </w:rPr>
        <w:t xml:space="preserve">, and </w:t>
      </w:r>
    </w:p>
    <w:p w14:paraId="4E931BAC" w14:textId="0F0B3D7D" w:rsidR="00A45862" w:rsidRDefault="005D12F7" w:rsidP="00C35840">
      <w:pPr>
        <w:pStyle w:val="ListParagraph"/>
        <w:numPr>
          <w:ilvl w:val="2"/>
          <w:numId w:val="14"/>
        </w:numPr>
        <w:ind w:left="1418" w:hanging="851"/>
        <w:rPr>
          <w:szCs w:val="20"/>
        </w:rPr>
      </w:pPr>
      <w:hyperlink r:id="rId21" w:history="1">
        <w:r w:rsidR="00C35840" w:rsidRPr="00C35840">
          <w:rPr>
            <w:rStyle w:val="Hyperlink"/>
            <w:szCs w:val="20"/>
          </w:rPr>
          <w:t xml:space="preserve">Reform of electricity network access and </w:t>
        </w:r>
        <w:r w:rsidR="005373FB" w:rsidRPr="00C35840">
          <w:rPr>
            <w:rStyle w:val="Hyperlink"/>
            <w:szCs w:val="20"/>
          </w:rPr>
          <w:t>forward-looking</w:t>
        </w:r>
        <w:r w:rsidR="00C35840" w:rsidRPr="00C35840">
          <w:rPr>
            <w:rStyle w:val="Hyperlink"/>
            <w:szCs w:val="20"/>
          </w:rPr>
          <w:t xml:space="preserve"> charges.</w:t>
        </w:r>
      </w:hyperlink>
    </w:p>
    <w:p w14:paraId="389023BE" w14:textId="469453D0" w:rsidR="00C35840" w:rsidRPr="00C35840" w:rsidRDefault="00C35840" w:rsidP="00C35840">
      <w:pPr>
        <w:ind w:left="567"/>
        <w:rPr>
          <w:szCs w:val="20"/>
        </w:rPr>
      </w:pPr>
      <w:r>
        <w:rPr>
          <w:szCs w:val="20"/>
        </w:rPr>
        <w:t xml:space="preserve">The Working Group reviewed both papers. </w:t>
      </w:r>
      <w:r w:rsidR="001A1E20">
        <w:rPr>
          <w:szCs w:val="20"/>
        </w:rPr>
        <w:t xml:space="preserve">This is </w:t>
      </w:r>
      <w:r w:rsidR="005373FB">
        <w:rPr>
          <w:szCs w:val="20"/>
        </w:rPr>
        <w:t>discussed</w:t>
      </w:r>
      <w:r w:rsidR="001A1E20">
        <w:rPr>
          <w:szCs w:val="20"/>
        </w:rPr>
        <w:t xml:space="preserve"> further under section 8 below.</w:t>
      </w:r>
    </w:p>
    <w:p w14:paraId="78F866A9" w14:textId="38A38ACD" w:rsidR="00D630E4" w:rsidRDefault="00D630E4" w:rsidP="00D630E4">
      <w:pPr>
        <w:rPr>
          <w:b/>
          <w:color w:val="339966"/>
          <w:sz w:val="24"/>
        </w:rPr>
      </w:pPr>
      <w:r>
        <w:rPr>
          <w:b/>
          <w:color w:val="339966"/>
          <w:sz w:val="24"/>
        </w:rPr>
        <w:t>Second Consultation</w:t>
      </w:r>
    </w:p>
    <w:p w14:paraId="5E67E01D" w14:textId="296C551B" w:rsidR="00BC73ED" w:rsidRDefault="009F18DD" w:rsidP="002518AB">
      <w:pPr>
        <w:pStyle w:val="ListParagraph"/>
        <w:numPr>
          <w:ilvl w:val="1"/>
          <w:numId w:val="14"/>
        </w:numPr>
        <w:rPr>
          <w:szCs w:val="20"/>
        </w:rPr>
      </w:pPr>
      <w:r>
        <w:rPr>
          <w:szCs w:val="20"/>
        </w:rPr>
        <w:lastRenderedPageBreak/>
        <w:t xml:space="preserve">Following on from the responses of the first consultation, the Working Group </w:t>
      </w:r>
      <w:r w:rsidR="00D630E4" w:rsidRPr="00D630E4">
        <w:rPr>
          <w:szCs w:val="20"/>
        </w:rPr>
        <w:t>agreed that</w:t>
      </w:r>
      <w:r>
        <w:rPr>
          <w:szCs w:val="20"/>
        </w:rPr>
        <w:t xml:space="preserve"> the Ofgem </w:t>
      </w:r>
      <w:r w:rsidR="00E9544C">
        <w:rPr>
          <w:szCs w:val="20"/>
        </w:rPr>
        <w:t xml:space="preserve">licence fees </w:t>
      </w:r>
      <w:r>
        <w:rPr>
          <w:szCs w:val="20"/>
        </w:rPr>
        <w:t xml:space="preserve">should be allocated to LV </w:t>
      </w:r>
      <w:r w:rsidR="00BC73ED">
        <w:rPr>
          <w:szCs w:val="20"/>
        </w:rPr>
        <w:t xml:space="preserve">voltage level </w:t>
      </w:r>
      <w:r>
        <w:rPr>
          <w:szCs w:val="20"/>
        </w:rPr>
        <w:t>customers.</w:t>
      </w:r>
      <w:r w:rsidR="00BC73ED">
        <w:rPr>
          <w:szCs w:val="20"/>
        </w:rPr>
        <w:t xml:space="preserve"> The rationale for this decision is based on the fact that &gt;99% of customers are connected at this voltage level and so would provide a more </w:t>
      </w:r>
      <w:r w:rsidR="009C0C5C">
        <w:rPr>
          <w:szCs w:val="20"/>
        </w:rPr>
        <w:t xml:space="preserve">simplified </w:t>
      </w:r>
      <w:r w:rsidR="00BC73ED">
        <w:rPr>
          <w:szCs w:val="20"/>
        </w:rPr>
        <w:t>solution</w:t>
      </w:r>
      <w:r w:rsidR="009C0C5C">
        <w:rPr>
          <w:szCs w:val="20"/>
        </w:rPr>
        <w:t xml:space="preserve"> at the expense of a minimal improvement in cost reflectivity</w:t>
      </w:r>
      <w:r w:rsidR="00BC73ED">
        <w:rPr>
          <w:szCs w:val="20"/>
        </w:rPr>
        <w:t>.</w:t>
      </w:r>
      <w:r>
        <w:rPr>
          <w:szCs w:val="20"/>
        </w:rPr>
        <w:t xml:space="preserve"> </w:t>
      </w:r>
    </w:p>
    <w:p w14:paraId="4FC4E3AE" w14:textId="24E3DF73" w:rsidR="002E0E9A" w:rsidRDefault="009C0C5C" w:rsidP="002518AB">
      <w:pPr>
        <w:pStyle w:val="ListParagraph"/>
        <w:numPr>
          <w:ilvl w:val="1"/>
          <w:numId w:val="14"/>
        </w:numPr>
        <w:rPr>
          <w:szCs w:val="20"/>
        </w:rPr>
      </w:pPr>
      <w:r>
        <w:rPr>
          <w:szCs w:val="20"/>
        </w:rPr>
        <w:t xml:space="preserve">The Working Group are </w:t>
      </w:r>
      <w:r w:rsidR="002E0E9A">
        <w:rPr>
          <w:szCs w:val="20"/>
        </w:rPr>
        <w:t xml:space="preserve">seeking views on the rationale used to determine that the </w:t>
      </w:r>
      <w:r>
        <w:rPr>
          <w:szCs w:val="20"/>
        </w:rPr>
        <w:t xml:space="preserve">licence fees </w:t>
      </w:r>
      <w:r w:rsidR="002E0E9A">
        <w:rPr>
          <w:szCs w:val="20"/>
        </w:rPr>
        <w:t xml:space="preserve">will just be allocated at </w:t>
      </w:r>
      <w:r>
        <w:rPr>
          <w:szCs w:val="20"/>
        </w:rPr>
        <w:t xml:space="preserve">the </w:t>
      </w:r>
      <w:r w:rsidR="002E0E9A">
        <w:rPr>
          <w:szCs w:val="20"/>
        </w:rPr>
        <w:t xml:space="preserve">LV </w:t>
      </w:r>
      <w:r>
        <w:rPr>
          <w:szCs w:val="20"/>
        </w:rPr>
        <w:t xml:space="preserve">network </w:t>
      </w:r>
      <w:r w:rsidR="002E0E9A">
        <w:rPr>
          <w:szCs w:val="20"/>
        </w:rPr>
        <w:t>level, together with the impact on LDNO tariffs in the section below.</w:t>
      </w:r>
    </w:p>
    <w:tbl>
      <w:tblPr>
        <w:tblStyle w:val="TableList2"/>
        <w:tblW w:w="0" w:type="auto"/>
        <w:tblLook w:val="04A0" w:firstRow="1" w:lastRow="0" w:firstColumn="1" w:lastColumn="0" w:noHBand="0" w:noVBand="1"/>
      </w:tblPr>
      <w:tblGrid>
        <w:gridCol w:w="9346"/>
      </w:tblGrid>
      <w:tr w:rsidR="00BC73ED" w14:paraId="2EEC4B29" w14:textId="77777777" w:rsidTr="00BC73ED">
        <w:trPr>
          <w:cnfStyle w:val="100000000000" w:firstRow="1" w:lastRow="0" w:firstColumn="0" w:lastColumn="0" w:oddVBand="0" w:evenVBand="0" w:oddHBand="0" w:evenHBand="0" w:firstRowFirstColumn="0" w:firstRowLastColumn="0" w:lastRowFirstColumn="0" w:lastRowLastColumn="0"/>
        </w:trPr>
        <w:tc>
          <w:tcPr>
            <w:tcW w:w="9346" w:type="dxa"/>
          </w:tcPr>
          <w:p w14:paraId="26D75BDF" w14:textId="46B63358" w:rsidR="00BC73ED" w:rsidRPr="00BC73ED" w:rsidRDefault="001A1E20" w:rsidP="00BC73ED">
            <w:pPr>
              <w:rPr>
                <w:color w:val="FFFFFF" w:themeColor="background1"/>
                <w:szCs w:val="20"/>
              </w:rPr>
            </w:pPr>
            <w:r>
              <w:rPr>
                <w:color w:val="FFFFFF" w:themeColor="background1"/>
                <w:szCs w:val="20"/>
              </w:rPr>
              <w:t>Q1</w:t>
            </w:r>
            <w:r w:rsidR="00BC73ED">
              <w:rPr>
                <w:color w:val="FFFFFF" w:themeColor="background1"/>
                <w:szCs w:val="20"/>
              </w:rPr>
              <w:t xml:space="preserve">: Are Parties comfortable with the approach proposed by the Working Group to allocate the Ofgem </w:t>
            </w:r>
            <w:r w:rsidR="00F91525">
              <w:rPr>
                <w:color w:val="FFFFFF" w:themeColor="background1"/>
                <w:szCs w:val="20"/>
              </w:rPr>
              <w:t>l</w:t>
            </w:r>
            <w:r w:rsidR="00BC73ED">
              <w:rPr>
                <w:color w:val="FFFFFF" w:themeColor="background1"/>
                <w:szCs w:val="20"/>
              </w:rPr>
              <w:t xml:space="preserve">icence </w:t>
            </w:r>
            <w:r w:rsidR="00F91525">
              <w:rPr>
                <w:color w:val="FFFFFF" w:themeColor="background1"/>
                <w:szCs w:val="20"/>
              </w:rPr>
              <w:t>f</w:t>
            </w:r>
            <w:r w:rsidR="00BC73ED">
              <w:rPr>
                <w:color w:val="FFFFFF" w:themeColor="background1"/>
                <w:szCs w:val="20"/>
              </w:rPr>
              <w:t>ees to the LV Service Customers rather than allocating them across all voltage levels?</w:t>
            </w:r>
            <w:r w:rsidR="009A1FC2">
              <w:rPr>
                <w:color w:val="FFFFFF" w:themeColor="background1"/>
                <w:szCs w:val="20"/>
              </w:rPr>
              <w:t xml:space="preserve"> If not provide your rationale</w:t>
            </w:r>
          </w:p>
        </w:tc>
      </w:tr>
    </w:tbl>
    <w:p w14:paraId="5EBD049A" w14:textId="3E569A05" w:rsidR="0046735A" w:rsidRPr="002E0E9A" w:rsidRDefault="0046735A" w:rsidP="002E0E9A">
      <w:pPr>
        <w:rPr>
          <w:szCs w:val="20"/>
        </w:rPr>
      </w:pPr>
    </w:p>
    <w:p w14:paraId="5F1992C3" w14:textId="77777777" w:rsidR="00F97791" w:rsidRPr="00EB32BB" w:rsidRDefault="00F97791" w:rsidP="00F97791">
      <w:pPr>
        <w:pStyle w:val="Heading02"/>
        <w:keepNext w:val="0"/>
        <w:numPr>
          <w:ilvl w:val="0"/>
          <w:numId w:val="14"/>
        </w:numPr>
      </w:pPr>
      <w:bookmarkStart w:id="13" w:name="_Toc492567088"/>
      <w:bookmarkStart w:id="14" w:name="_Toc464564983"/>
      <w:r w:rsidRPr="00EB32BB">
        <w:t>Legal Text</w:t>
      </w:r>
      <w:bookmarkEnd w:id="13"/>
      <w:r w:rsidR="005908D1">
        <w:t xml:space="preserve"> </w:t>
      </w:r>
      <w:bookmarkEnd w:id="14"/>
    </w:p>
    <w:p w14:paraId="4620D1D7" w14:textId="722A3A7B" w:rsidR="0014021A" w:rsidRDefault="0014021A" w:rsidP="004A4900">
      <w:pPr>
        <w:pStyle w:val="Heading2"/>
        <w:keepNext w:val="0"/>
        <w:numPr>
          <w:ilvl w:val="1"/>
          <w:numId w:val="43"/>
        </w:numPr>
        <w:spacing w:before="240" w:after="60" w:line="360" w:lineRule="auto"/>
        <w:jc w:val="both"/>
        <w:rPr>
          <w:color w:val="auto"/>
          <w:sz w:val="20"/>
          <w:szCs w:val="20"/>
        </w:rPr>
      </w:pPr>
      <w:r>
        <w:rPr>
          <w:color w:val="auto"/>
          <w:sz w:val="20"/>
          <w:szCs w:val="20"/>
        </w:rPr>
        <w:t>The draft</w:t>
      </w:r>
      <w:r w:rsidR="00071B36">
        <w:rPr>
          <w:color w:val="auto"/>
          <w:sz w:val="20"/>
          <w:szCs w:val="20"/>
        </w:rPr>
        <w:t xml:space="preserve"> legal text acts as </w:t>
      </w:r>
      <w:r w:rsidR="00071B36" w:rsidRPr="00071B36">
        <w:rPr>
          <w:color w:val="auto"/>
          <w:sz w:val="20"/>
          <w:szCs w:val="20"/>
          <w:highlight w:val="yellow"/>
        </w:rPr>
        <w:t xml:space="preserve">Attachment </w:t>
      </w:r>
      <w:r w:rsidR="009A1FC2">
        <w:rPr>
          <w:color w:val="auto"/>
          <w:sz w:val="20"/>
          <w:szCs w:val="20"/>
          <w:highlight w:val="yellow"/>
        </w:rPr>
        <w:t>4</w:t>
      </w:r>
      <w:r w:rsidR="009A1FC2">
        <w:rPr>
          <w:color w:val="auto"/>
          <w:sz w:val="20"/>
          <w:szCs w:val="20"/>
        </w:rPr>
        <w:t xml:space="preserve"> </w:t>
      </w:r>
      <w:r>
        <w:rPr>
          <w:color w:val="auto"/>
          <w:sz w:val="20"/>
          <w:szCs w:val="20"/>
        </w:rPr>
        <w:t>to this consultation.</w:t>
      </w:r>
    </w:p>
    <w:p w14:paraId="1E1B807E" w14:textId="6C81F8E6" w:rsidR="0014021A" w:rsidRDefault="0014021A" w:rsidP="004A4900">
      <w:pPr>
        <w:pStyle w:val="Heading2"/>
        <w:keepNext w:val="0"/>
        <w:numPr>
          <w:ilvl w:val="1"/>
          <w:numId w:val="43"/>
        </w:numPr>
        <w:spacing w:before="240" w:after="60" w:line="360" w:lineRule="auto"/>
        <w:jc w:val="both"/>
        <w:rPr>
          <w:color w:val="auto"/>
          <w:sz w:val="20"/>
          <w:szCs w:val="20"/>
        </w:rPr>
      </w:pPr>
      <w:r>
        <w:rPr>
          <w:color w:val="auto"/>
          <w:sz w:val="20"/>
          <w:szCs w:val="20"/>
        </w:rPr>
        <w:t xml:space="preserve">The draft legal text amends </w:t>
      </w:r>
      <w:r w:rsidRPr="0014021A">
        <w:rPr>
          <w:color w:val="auto"/>
          <w:sz w:val="20"/>
          <w:szCs w:val="20"/>
        </w:rPr>
        <w:t>Schedule XX, Clause 6 table and a new clause 11B</w:t>
      </w:r>
      <w:r>
        <w:rPr>
          <w:color w:val="auto"/>
          <w:sz w:val="20"/>
          <w:szCs w:val="20"/>
        </w:rPr>
        <w:t>, which is being implemented by DCP 234 ‘Merging the PCDM and the extended PCDM’</w:t>
      </w:r>
    </w:p>
    <w:p w14:paraId="51368378" w14:textId="4A62F593" w:rsidR="00EA7F51" w:rsidRDefault="00EA7F51" w:rsidP="00EA7F51">
      <w:pPr>
        <w:pStyle w:val="ListParagraph"/>
        <w:numPr>
          <w:ilvl w:val="1"/>
          <w:numId w:val="43"/>
        </w:numPr>
      </w:pPr>
      <w:r>
        <w:t>The legal text will be updated as follows:</w:t>
      </w:r>
    </w:p>
    <w:p w14:paraId="5173F13A" w14:textId="1942C993" w:rsidR="00EA7F51" w:rsidRPr="00EA7F51" w:rsidRDefault="00EA7F51" w:rsidP="00EA7F51">
      <w:pPr>
        <w:pStyle w:val="ListParagraph"/>
        <w:ind w:left="576"/>
        <w:rPr>
          <w:b/>
        </w:rPr>
      </w:pPr>
      <w:r>
        <w:rPr>
          <w:b/>
        </w:rPr>
        <w:t>Table: Allocation rules</w:t>
      </w:r>
    </w:p>
    <w:tbl>
      <w:tblPr>
        <w:tblW w:w="879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1701"/>
        <w:gridCol w:w="1417"/>
        <w:gridCol w:w="1560"/>
      </w:tblGrid>
      <w:tr w:rsidR="00EA7F51" w14:paraId="68D957C8" w14:textId="77777777" w:rsidTr="00EA7F51">
        <w:trPr>
          <w:cantSplit/>
          <w:trHeight w:val="302"/>
        </w:trPr>
        <w:tc>
          <w:tcPr>
            <w:tcW w:w="4112" w:type="dxa"/>
            <w:tcBorders>
              <w:top w:val="single" w:sz="4" w:space="0" w:color="auto"/>
              <w:left w:val="single" w:sz="4" w:space="0" w:color="auto"/>
              <w:bottom w:val="single" w:sz="4" w:space="0" w:color="auto"/>
              <w:right w:val="single" w:sz="4" w:space="0" w:color="auto"/>
            </w:tcBorders>
            <w:hideMark/>
          </w:tcPr>
          <w:p w14:paraId="22D16CF9" w14:textId="77777777" w:rsidR="00EA7F51" w:rsidRDefault="00EA7F51">
            <w:pPr>
              <w:keepLines/>
              <w:widowControl w:val="0"/>
              <w:spacing w:after="0" w:line="276" w:lineRule="auto"/>
              <w:outlineLvl w:val="5"/>
              <w:rPr>
                <w:rFonts w:ascii="Times New Roman" w:hAnsi="Times New Roman"/>
                <w:sz w:val="24"/>
                <w:szCs w:val="22"/>
              </w:rPr>
            </w:pPr>
            <w:r>
              <w:rPr>
                <w:rFonts w:ascii="Times New Roman" w:hAnsi="Times New Roman"/>
                <w:sz w:val="24"/>
              </w:rPr>
              <w:t xml:space="preserve">Non activity costs and reconciling amounts </w:t>
            </w:r>
          </w:p>
        </w:tc>
        <w:tc>
          <w:tcPr>
            <w:tcW w:w="1701" w:type="dxa"/>
            <w:tcBorders>
              <w:top w:val="single" w:sz="4" w:space="0" w:color="auto"/>
              <w:left w:val="single" w:sz="4" w:space="0" w:color="auto"/>
              <w:bottom w:val="single" w:sz="4" w:space="0" w:color="auto"/>
              <w:right w:val="single" w:sz="4" w:space="0" w:color="auto"/>
            </w:tcBorders>
            <w:hideMark/>
          </w:tcPr>
          <w:p w14:paraId="574E5357" w14:textId="411C3A74" w:rsidR="00EA7F51" w:rsidRDefault="00EA7F51">
            <w:pPr>
              <w:keepLines/>
              <w:widowControl w:val="0"/>
              <w:spacing w:after="0" w:line="276" w:lineRule="auto"/>
              <w:outlineLvl w:val="5"/>
              <w:rPr>
                <w:rFonts w:ascii="Times New Roman" w:hAnsi="Times New Roman"/>
                <w:sz w:val="24"/>
              </w:rPr>
            </w:pPr>
            <w:r w:rsidRPr="00EA7F51">
              <w:rPr>
                <w:rFonts w:ascii="Times New Roman" w:hAnsi="Times New Roman"/>
                <w:strike/>
                <w:color w:val="C00000"/>
                <w:sz w:val="24"/>
              </w:rPr>
              <w:t>Do not allocate</w:t>
            </w:r>
            <w:r w:rsidRPr="00EA7F51">
              <w:rPr>
                <w:rFonts w:ascii="Times New Roman" w:hAnsi="Times New Roman"/>
                <w:color w:val="C00000"/>
                <w:sz w:val="24"/>
              </w:rPr>
              <w:t xml:space="preserve"> see paragraph 11A in this schedule XX</w:t>
            </w:r>
          </w:p>
        </w:tc>
        <w:tc>
          <w:tcPr>
            <w:tcW w:w="1417" w:type="dxa"/>
            <w:tcBorders>
              <w:top w:val="single" w:sz="4" w:space="0" w:color="auto"/>
              <w:left w:val="single" w:sz="4" w:space="0" w:color="auto"/>
              <w:bottom w:val="single" w:sz="4" w:space="0" w:color="auto"/>
              <w:right w:val="single" w:sz="4" w:space="0" w:color="auto"/>
            </w:tcBorders>
            <w:noWrap/>
          </w:tcPr>
          <w:p w14:paraId="72E003FF" w14:textId="77777777" w:rsidR="00EA7F51" w:rsidRDefault="00EA7F51">
            <w:pPr>
              <w:widowControl w:val="0"/>
              <w:spacing w:after="0" w:line="276" w:lineRule="auto"/>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noWrap/>
            <w:hideMark/>
          </w:tcPr>
          <w:p w14:paraId="17065436" w14:textId="77777777" w:rsidR="00EA7F51" w:rsidRDefault="00EA7F51">
            <w:pPr>
              <w:keepLines/>
              <w:widowControl w:val="0"/>
              <w:spacing w:after="0" w:line="276" w:lineRule="auto"/>
              <w:outlineLvl w:val="5"/>
              <w:rPr>
                <w:rFonts w:ascii="Times New Roman" w:hAnsi="Times New Roman"/>
                <w:sz w:val="24"/>
              </w:rPr>
            </w:pPr>
            <w:r>
              <w:rPr>
                <w:rFonts w:ascii="Times New Roman" w:hAnsi="Times New Roman"/>
                <w:sz w:val="24"/>
              </w:rPr>
              <w:t>1</w:t>
            </w:r>
          </w:p>
        </w:tc>
      </w:tr>
    </w:tbl>
    <w:p w14:paraId="4C2ACC0C" w14:textId="77777777" w:rsidR="00EA7F51" w:rsidRPr="00EA7F51" w:rsidRDefault="00EA7F51" w:rsidP="00EA7F51">
      <w:pPr>
        <w:autoSpaceDE w:val="0"/>
        <w:autoSpaceDN w:val="0"/>
        <w:adjustRightInd w:val="0"/>
        <w:ind w:left="709" w:right="-9" w:hanging="709"/>
        <w:jc w:val="both"/>
        <w:rPr>
          <w:rFonts w:asciiTheme="minorHAnsi" w:hAnsiTheme="minorHAnsi"/>
          <w:color w:val="C00000"/>
          <w:u w:val="single"/>
        </w:rPr>
      </w:pPr>
      <w:r w:rsidRPr="00EA7F51">
        <w:rPr>
          <w:rFonts w:ascii="Times New Roman" w:hAnsi="Times New Roman"/>
          <w:color w:val="C00000"/>
          <w:sz w:val="24"/>
        </w:rPr>
        <w:t>11A</w:t>
      </w:r>
      <w:r w:rsidRPr="00EA7F51">
        <w:rPr>
          <w:rFonts w:ascii="Times New Roman" w:hAnsi="Times New Roman"/>
          <w:color w:val="C00000"/>
          <w:sz w:val="24"/>
        </w:rPr>
        <w:tab/>
      </w:r>
      <w:r w:rsidRPr="00EA7F51">
        <w:rPr>
          <w:color w:val="C00000"/>
          <w:u w:val="single"/>
        </w:rPr>
        <w:t>RRP costs described in the table at 6 above as “Non activity costs and reconciling amounts” shall be allocated as follows:</w:t>
      </w:r>
    </w:p>
    <w:p w14:paraId="20E2C3C6" w14:textId="77777777" w:rsidR="00EA7F51" w:rsidRPr="00EA7F51" w:rsidRDefault="00EA7F51" w:rsidP="00EA7F51">
      <w:pPr>
        <w:pStyle w:val="ListParagraph"/>
        <w:numPr>
          <w:ilvl w:val="0"/>
          <w:numId w:val="44"/>
        </w:numPr>
        <w:autoSpaceDE w:val="0"/>
        <w:autoSpaceDN w:val="0"/>
        <w:adjustRightInd w:val="0"/>
        <w:spacing w:before="0" w:after="240" w:line="360" w:lineRule="auto"/>
        <w:ind w:right="-9"/>
        <w:contextualSpacing/>
        <w:jc w:val="both"/>
        <w:rPr>
          <w:color w:val="C00000"/>
          <w:u w:val="single"/>
        </w:rPr>
      </w:pPr>
      <w:r w:rsidRPr="00EA7F51">
        <w:rPr>
          <w:color w:val="C00000"/>
          <w:u w:val="single"/>
        </w:rPr>
        <w:t>Costs described in table 2.6 of the 2007/2008 RRP as “Ofgem licence fees” shall be 100% allocated directly to the LV services level.</w:t>
      </w:r>
    </w:p>
    <w:p w14:paraId="367D4D7C" w14:textId="77777777" w:rsidR="00EA7F51" w:rsidRPr="00EA7F51" w:rsidRDefault="00EA7F51" w:rsidP="00EA7F51">
      <w:pPr>
        <w:pStyle w:val="ListParagraph"/>
        <w:numPr>
          <w:ilvl w:val="0"/>
          <w:numId w:val="44"/>
        </w:numPr>
        <w:autoSpaceDE w:val="0"/>
        <w:autoSpaceDN w:val="0"/>
        <w:adjustRightInd w:val="0"/>
        <w:spacing w:before="0" w:after="240" w:line="360" w:lineRule="auto"/>
        <w:ind w:right="-9"/>
        <w:contextualSpacing/>
        <w:jc w:val="both"/>
        <w:rPr>
          <w:color w:val="C00000"/>
          <w:u w:val="single"/>
        </w:rPr>
      </w:pPr>
      <w:r w:rsidRPr="00EA7F51">
        <w:rPr>
          <w:color w:val="C00000"/>
          <w:u w:val="single"/>
        </w:rPr>
        <w:t>No other costs shall be directly allocated</w:t>
      </w:r>
    </w:p>
    <w:p w14:paraId="31A06EA5" w14:textId="77777777" w:rsidR="00EA7F51" w:rsidRPr="00EA7F51" w:rsidRDefault="00EA7F51" w:rsidP="00EA7F51">
      <w:pPr>
        <w:pStyle w:val="ListParagraph"/>
        <w:ind w:left="576"/>
      </w:pPr>
    </w:p>
    <w:p w14:paraId="3D0F88BD" w14:textId="33028DB7" w:rsidR="00D3651A" w:rsidRDefault="0046735A" w:rsidP="004A4900">
      <w:pPr>
        <w:pStyle w:val="Heading2"/>
        <w:keepNext w:val="0"/>
        <w:numPr>
          <w:ilvl w:val="1"/>
          <w:numId w:val="43"/>
        </w:numPr>
        <w:spacing w:before="240" w:after="60" w:line="360" w:lineRule="auto"/>
        <w:jc w:val="both"/>
        <w:rPr>
          <w:color w:val="auto"/>
          <w:sz w:val="20"/>
          <w:szCs w:val="20"/>
        </w:rPr>
      </w:pPr>
      <w:r>
        <w:rPr>
          <w:color w:val="auto"/>
          <w:sz w:val="20"/>
          <w:szCs w:val="20"/>
        </w:rPr>
        <w:t>The Working Group would like industry feedback on the proposed legal text.</w:t>
      </w:r>
    </w:p>
    <w:tbl>
      <w:tblPr>
        <w:tblStyle w:val="TableList2"/>
        <w:tblW w:w="0" w:type="auto"/>
        <w:tblLook w:val="04A0" w:firstRow="1" w:lastRow="0" w:firstColumn="1" w:lastColumn="0" w:noHBand="0" w:noVBand="1"/>
      </w:tblPr>
      <w:tblGrid>
        <w:gridCol w:w="9346"/>
      </w:tblGrid>
      <w:tr w:rsidR="0046735A" w14:paraId="3A04DFB5" w14:textId="77777777" w:rsidTr="0046735A">
        <w:trPr>
          <w:cnfStyle w:val="100000000000" w:firstRow="1" w:lastRow="0" w:firstColumn="0" w:lastColumn="0" w:oddVBand="0" w:evenVBand="0" w:oddHBand="0" w:evenHBand="0" w:firstRowFirstColumn="0" w:firstRowLastColumn="0" w:lastRowFirstColumn="0" w:lastRowLastColumn="0"/>
        </w:trPr>
        <w:tc>
          <w:tcPr>
            <w:tcW w:w="9346" w:type="dxa"/>
          </w:tcPr>
          <w:p w14:paraId="545ACA04" w14:textId="74D42B0F" w:rsidR="0046735A" w:rsidRPr="0046735A" w:rsidRDefault="0046735A" w:rsidP="0046735A">
            <w:pPr>
              <w:rPr>
                <w:color w:val="FFFFFF" w:themeColor="background1"/>
              </w:rPr>
            </w:pPr>
            <w:r>
              <w:rPr>
                <w:color w:val="FFFFFF" w:themeColor="background1"/>
              </w:rPr>
              <w:t>Q</w:t>
            </w:r>
            <w:r w:rsidR="001A1E20">
              <w:rPr>
                <w:color w:val="FFFFFF" w:themeColor="background1"/>
              </w:rPr>
              <w:t>2</w:t>
            </w:r>
            <w:r>
              <w:rPr>
                <w:color w:val="FFFFFF" w:themeColor="background1"/>
              </w:rPr>
              <w:t xml:space="preserve"> Do you have any comments on the proposed legal text?</w:t>
            </w:r>
          </w:p>
        </w:tc>
      </w:tr>
    </w:tbl>
    <w:p w14:paraId="0403810C" w14:textId="77777777" w:rsidR="0046735A" w:rsidRPr="0046735A" w:rsidRDefault="0046735A" w:rsidP="0046735A"/>
    <w:p w14:paraId="24F04848" w14:textId="77777777" w:rsidR="00B52063" w:rsidRPr="00EB32BB" w:rsidRDefault="00B52063" w:rsidP="00CB2A38">
      <w:pPr>
        <w:pStyle w:val="Heading02"/>
        <w:numPr>
          <w:ilvl w:val="0"/>
          <w:numId w:val="14"/>
        </w:numPr>
      </w:pPr>
      <w:bookmarkStart w:id="15" w:name="_Toc453107801"/>
      <w:bookmarkStart w:id="16" w:name="_Toc464564984"/>
      <w:bookmarkStart w:id="17" w:name="_Toc492567089"/>
      <w:r w:rsidRPr="00EB32BB">
        <w:lastRenderedPageBreak/>
        <w:t>Relevant Objectives</w:t>
      </w:r>
      <w:bookmarkEnd w:id="12"/>
      <w:bookmarkEnd w:id="15"/>
      <w:bookmarkEnd w:id="16"/>
      <w:bookmarkEnd w:id="17"/>
    </w:p>
    <w:p w14:paraId="3111A590"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1A1ECD39" w14:textId="0EE720E9" w:rsidR="007666BA" w:rsidRDefault="00586BD1" w:rsidP="00214FF5">
      <w:pPr>
        <w:numPr>
          <w:ilvl w:val="1"/>
          <w:numId w:val="14"/>
        </w:numPr>
        <w:jc w:val="both"/>
        <w:rPr>
          <w:rFonts w:cs="Arial"/>
          <w:bCs/>
          <w:iCs/>
          <w:szCs w:val="20"/>
        </w:rPr>
      </w:pPr>
      <w:r w:rsidRPr="002E0E9A">
        <w:rPr>
          <w:rFonts w:cs="Arial"/>
          <w:bCs/>
          <w:iCs/>
          <w:szCs w:val="20"/>
        </w:rPr>
        <w:t>For a DCUSA Change Proposal to be approved it must be demonstrated that it better meets the DCUSA Object</w:t>
      </w:r>
      <w:r w:rsidR="001052FF" w:rsidRPr="002E0E9A">
        <w:rPr>
          <w:rFonts w:cs="Arial"/>
          <w:bCs/>
          <w:iCs/>
          <w:szCs w:val="20"/>
        </w:rPr>
        <w:t xml:space="preserve">ives. </w:t>
      </w:r>
      <w:r w:rsidR="002E0E9A" w:rsidRPr="002E0E9A">
        <w:rPr>
          <w:rFonts w:cs="Arial"/>
          <w:bCs/>
          <w:iCs/>
          <w:szCs w:val="20"/>
        </w:rPr>
        <w:t xml:space="preserve">Following on from the first consultation, respondents agreed with the Proposer that DCUSA Charging Objective 3 would be better facilitated as the LDNO tariffs produced by the Common Distribution Charging Methodology (CDCM) will better reflect the </w:t>
      </w:r>
      <w:r w:rsidR="007C2555" w:rsidRPr="002E0E9A">
        <w:rPr>
          <w:rFonts w:cs="Arial"/>
          <w:bCs/>
          <w:iCs/>
          <w:szCs w:val="20"/>
        </w:rPr>
        <w:t>mechanism</w:t>
      </w:r>
      <w:r w:rsidR="002E0E9A" w:rsidRPr="002E0E9A">
        <w:rPr>
          <w:rFonts w:cs="Arial"/>
          <w:bCs/>
          <w:iCs/>
          <w:szCs w:val="20"/>
        </w:rPr>
        <w:t xml:space="preserve"> by which the costs are incurred</w:t>
      </w:r>
      <w:r w:rsidR="0014021A" w:rsidRPr="002E0E9A">
        <w:rPr>
          <w:rFonts w:cs="Arial"/>
          <w:bCs/>
          <w:iCs/>
          <w:szCs w:val="20"/>
        </w:rPr>
        <w:t>.</w:t>
      </w:r>
    </w:p>
    <w:p w14:paraId="5230C180" w14:textId="7A568A0B" w:rsidR="002E0E9A" w:rsidRDefault="002E0E9A" w:rsidP="00214FF5">
      <w:pPr>
        <w:numPr>
          <w:ilvl w:val="1"/>
          <w:numId w:val="14"/>
        </w:numPr>
        <w:jc w:val="both"/>
        <w:rPr>
          <w:rFonts w:cs="Arial"/>
          <w:bCs/>
          <w:iCs/>
          <w:szCs w:val="20"/>
        </w:rPr>
      </w:pPr>
      <w:r>
        <w:rPr>
          <w:rFonts w:cs="Arial"/>
          <w:bCs/>
          <w:iCs/>
          <w:szCs w:val="20"/>
        </w:rPr>
        <w:t xml:space="preserve">The Working Group have concluded that they are going to adopt the approach of allocating the Ofgem </w:t>
      </w:r>
      <w:r w:rsidR="009C0C5C">
        <w:rPr>
          <w:rFonts w:cs="Arial"/>
          <w:bCs/>
          <w:iCs/>
          <w:szCs w:val="20"/>
        </w:rPr>
        <w:t xml:space="preserve">licence fees </w:t>
      </w:r>
      <w:r w:rsidR="007C2555">
        <w:rPr>
          <w:rFonts w:cs="Arial"/>
          <w:bCs/>
          <w:iCs/>
          <w:szCs w:val="20"/>
        </w:rPr>
        <w:t xml:space="preserve">to LV </w:t>
      </w:r>
      <w:r w:rsidR="009C0C5C">
        <w:rPr>
          <w:rFonts w:cs="Arial"/>
          <w:bCs/>
          <w:iCs/>
          <w:szCs w:val="20"/>
        </w:rPr>
        <w:t>network customers rather than customers at each voltage level</w:t>
      </w:r>
      <w:r w:rsidR="007C2555">
        <w:rPr>
          <w:rFonts w:cs="Arial"/>
          <w:bCs/>
          <w:iCs/>
          <w:szCs w:val="20"/>
        </w:rPr>
        <w:t>, therefore, the Working Group seeks industry opinion on whether DCUSA Charging Objective 3 would still be positively impacted by the change and whether any of the other DCUSA Charging would be better facilitated.</w:t>
      </w:r>
    </w:p>
    <w:tbl>
      <w:tblPr>
        <w:tblStyle w:val="TableList2"/>
        <w:tblW w:w="0" w:type="auto"/>
        <w:tblLook w:val="04A0" w:firstRow="1" w:lastRow="0" w:firstColumn="1" w:lastColumn="0" w:noHBand="0" w:noVBand="1"/>
      </w:tblPr>
      <w:tblGrid>
        <w:gridCol w:w="9346"/>
      </w:tblGrid>
      <w:tr w:rsidR="00FA4EBA" w14:paraId="2E4455C9" w14:textId="77777777" w:rsidTr="00FA4EBA">
        <w:trPr>
          <w:cnfStyle w:val="100000000000" w:firstRow="1" w:lastRow="0" w:firstColumn="0" w:lastColumn="0" w:oddVBand="0" w:evenVBand="0" w:oddHBand="0" w:evenHBand="0" w:firstRowFirstColumn="0" w:firstRowLastColumn="0" w:lastRowFirstColumn="0" w:lastRowLastColumn="0"/>
        </w:trPr>
        <w:tc>
          <w:tcPr>
            <w:tcW w:w="9346" w:type="dxa"/>
          </w:tcPr>
          <w:p w14:paraId="003FE517" w14:textId="6A36F46D" w:rsidR="00FA4EBA" w:rsidRDefault="00FA4EBA" w:rsidP="00FA4EBA">
            <w:pPr>
              <w:jc w:val="both"/>
              <w:rPr>
                <w:rFonts w:cs="Arial"/>
                <w:bCs w:val="0"/>
                <w:iCs/>
                <w:szCs w:val="20"/>
              </w:rPr>
            </w:pPr>
            <w:r>
              <w:rPr>
                <w:rFonts w:cs="Arial"/>
                <w:bCs w:val="0"/>
                <w:iCs/>
                <w:szCs w:val="20"/>
              </w:rPr>
              <w:t>Q</w:t>
            </w:r>
            <w:r w:rsidR="001A1E20">
              <w:rPr>
                <w:rFonts w:cs="Arial"/>
                <w:bCs w:val="0"/>
                <w:iCs/>
                <w:szCs w:val="20"/>
              </w:rPr>
              <w:t>3</w:t>
            </w:r>
            <w:r>
              <w:rPr>
                <w:rFonts w:cs="Arial"/>
                <w:bCs w:val="0"/>
                <w:iCs/>
                <w:szCs w:val="20"/>
              </w:rPr>
              <w:t>: Which of the DCUSA Charging Objectives are better facilitated by this change? Please provide your rationale.</w:t>
            </w:r>
          </w:p>
        </w:tc>
      </w:tr>
    </w:tbl>
    <w:p w14:paraId="5D1DA1C6" w14:textId="09167B7D" w:rsidR="007666BA" w:rsidRDefault="007666BA" w:rsidP="007666BA">
      <w:pPr>
        <w:jc w:val="both"/>
        <w:rPr>
          <w:rFonts w:cs="Arial"/>
          <w:bCs/>
          <w:iCs/>
          <w:szCs w:val="20"/>
        </w:rPr>
      </w:pPr>
    </w:p>
    <w:tbl>
      <w:tblPr>
        <w:tblpPr w:leftFromText="180" w:rightFromText="180" w:vertAnchor="text" w:horzAnchor="margin" w:tblpY="266"/>
        <w:tblW w:w="9488"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488"/>
      </w:tblGrid>
      <w:tr w:rsidR="005930F8" w14:paraId="20ED476F"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shd w:val="clear" w:color="auto" w:fill="008576"/>
            <w:vAlign w:val="center"/>
            <w:hideMark/>
          </w:tcPr>
          <w:p w14:paraId="6C840CD5" w14:textId="7782F962" w:rsidR="005930F8" w:rsidRDefault="00642E23" w:rsidP="005930F8">
            <w:pPr>
              <w:spacing w:line="240" w:lineRule="auto"/>
              <w:ind w:left="113"/>
              <w:rPr>
                <w:rFonts w:cs="Arial"/>
                <w:b/>
                <w:color w:val="FFFFFF"/>
              </w:rPr>
            </w:pPr>
            <w:r>
              <w:rPr>
                <w:rFonts w:cs="Arial"/>
                <w:b/>
                <w:color w:val="FFFFFF"/>
              </w:rPr>
              <w:t>DCUSA Charging</w:t>
            </w:r>
            <w:r w:rsidR="005930F8">
              <w:rPr>
                <w:rFonts w:cs="Arial"/>
                <w:b/>
                <w:color w:val="FFFFFF"/>
              </w:rPr>
              <w:t xml:space="preserve"> Objectives:</w:t>
            </w:r>
          </w:p>
        </w:tc>
      </w:tr>
      <w:tr w:rsidR="007C2555" w14:paraId="36EE6E41"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76625F49" w14:textId="6DE84431" w:rsidR="007C2555" w:rsidRPr="007C2555" w:rsidRDefault="007C2555" w:rsidP="005930F8">
            <w:pPr>
              <w:rPr>
                <w:rFonts w:cs="Arial"/>
                <w:szCs w:val="20"/>
              </w:rPr>
            </w:pPr>
            <w:r>
              <w:rPr>
                <w:rFonts w:cs="Arial"/>
                <w:b/>
                <w:szCs w:val="20"/>
              </w:rPr>
              <w:t>Charging Objective 1</w:t>
            </w:r>
            <w:r>
              <w:rPr>
                <w:rFonts w:cs="Arial"/>
                <w:szCs w:val="20"/>
              </w:rPr>
              <w:t xml:space="preserve"> – that compliance by each DNO Party with the Charging Methodologies facilitates the discharge by the DNO Party of the obligations imposed on it under the Act and by its Distribution Licence</w:t>
            </w:r>
          </w:p>
        </w:tc>
      </w:tr>
      <w:tr w:rsidR="007C2555" w14:paraId="34EC05DA"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678D5B14" w14:textId="31136175" w:rsidR="007C2555" w:rsidRPr="007C2555" w:rsidRDefault="007C2555" w:rsidP="005930F8">
            <w:pPr>
              <w:rPr>
                <w:rFonts w:cs="Arial"/>
                <w:szCs w:val="20"/>
              </w:rPr>
            </w:pPr>
            <w:r>
              <w:rPr>
                <w:rFonts w:cs="Arial"/>
                <w:b/>
                <w:szCs w:val="20"/>
              </w:rPr>
              <w:t>Charging Objective 2</w:t>
            </w:r>
            <w:r>
              <w:rPr>
                <w:rFonts w:cs="Arial"/>
                <w:szCs w:val="20"/>
              </w:rPr>
              <w:t xml:space="preserve"> –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5930F8" w14:paraId="6BCDD864"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0BB2F781" w14:textId="77777777" w:rsidR="005930F8" w:rsidRDefault="0005400A" w:rsidP="005930F8">
            <w:pPr>
              <w:rPr>
                <w:rFonts w:cs="Arial"/>
                <w:b/>
                <w:szCs w:val="20"/>
              </w:rPr>
            </w:pPr>
            <w:r>
              <w:rPr>
                <w:rFonts w:cs="Arial"/>
                <w:b/>
                <w:szCs w:val="20"/>
              </w:rPr>
              <w:t>Charging</w:t>
            </w:r>
            <w:r w:rsidR="005930F8">
              <w:rPr>
                <w:rFonts w:cs="Arial"/>
                <w:b/>
                <w:szCs w:val="20"/>
              </w:rPr>
              <w:t xml:space="preserve"> Objective 3 </w:t>
            </w:r>
            <w:r w:rsidR="005930F8">
              <w:rPr>
                <w:rFonts w:cs="Arial"/>
                <w:szCs w:val="20"/>
              </w:rPr>
              <w:t xml:space="preserve">- </w:t>
            </w:r>
            <w:r w:rsidR="005930F8">
              <w:rPr>
                <w:rFonts w:cs="Arial"/>
                <w:noProof/>
              </w:rPr>
              <w:t xml:space="preserve">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7C2555" w14:paraId="13FEC89C"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7102D052" w14:textId="53B00F20" w:rsidR="007C2555" w:rsidRPr="007C2555" w:rsidRDefault="007C2555" w:rsidP="005930F8">
            <w:pPr>
              <w:rPr>
                <w:rFonts w:cs="Arial"/>
                <w:szCs w:val="20"/>
              </w:rPr>
            </w:pPr>
            <w:r>
              <w:rPr>
                <w:rFonts w:cs="Arial"/>
                <w:b/>
                <w:szCs w:val="20"/>
              </w:rPr>
              <w:t>Charging Objective 4</w:t>
            </w:r>
            <w:r>
              <w:rPr>
                <w:rFonts w:cs="Arial"/>
                <w:szCs w:val="20"/>
              </w:rPr>
              <w:t xml:space="preserve"> - </w:t>
            </w:r>
            <w:r w:rsidR="0060457E">
              <w:rPr>
                <w:rFonts w:cs="Arial"/>
                <w:noProof/>
              </w:rPr>
              <w:t>that, so far as is consistent with Clauses 3.2.1 to 3.2.3, the Charging Methodologies, so far as is reasonably practicable, properly take account of developments in each DNO Party’s Distribution Business</w:t>
            </w:r>
          </w:p>
        </w:tc>
      </w:tr>
      <w:tr w:rsidR="0060457E" w14:paraId="34AE48A6"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192828B4" w14:textId="43CBA03C" w:rsidR="0060457E" w:rsidRPr="0060457E" w:rsidRDefault="0060457E" w:rsidP="005930F8">
            <w:pPr>
              <w:rPr>
                <w:rFonts w:cs="Arial"/>
                <w:szCs w:val="20"/>
              </w:rPr>
            </w:pPr>
            <w:r>
              <w:rPr>
                <w:rFonts w:cs="Arial"/>
                <w:b/>
                <w:szCs w:val="20"/>
              </w:rPr>
              <w:t xml:space="preserve">Charging Objective 5 </w:t>
            </w:r>
            <w:r>
              <w:rPr>
                <w:rFonts w:cs="Arial"/>
                <w:szCs w:val="20"/>
              </w:rPr>
              <w:t xml:space="preserve">- </w:t>
            </w:r>
            <w:r>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60457E" w14:paraId="1474D461"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01A79110" w14:textId="696CD512" w:rsidR="0060457E" w:rsidRPr="0060457E" w:rsidRDefault="0060457E" w:rsidP="005930F8">
            <w:pPr>
              <w:rPr>
                <w:rFonts w:cs="Arial"/>
                <w:szCs w:val="20"/>
              </w:rPr>
            </w:pPr>
            <w:r>
              <w:rPr>
                <w:rFonts w:cs="Arial"/>
                <w:b/>
                <w:szCs w:val="20"/>
              </w:rPr>
              <w:t xml:space="preserve">Charging Objective 6 </w:t>
            </w:r>
            <w:r>
              <w:rPr>
                <w:rFonts w:cs="Arial"/>
                <w:szCs w:val="20"/>
              </w:rPr>
              <w:t xml:space="preserve">- </w:t>
            </w:r>
            <w:r>
              <w:rPr>
                <w:rFonts w:cs="Arial"/>
                <w:noProof/>
              </w:rPr>
              <w:t xml:space="preserve"> t</w:t>
            </w:r>
            <w:r w:rsidRPr="00F246F3">
              <w:rPr>
                <w:rFonts w:cs="Arial"/>
                <w:noProof/>
              </w:rPr>
              <w:t>hat compliance with the Charging Methodologies promotes efficiency in its own implementation and administration</w:t>
            </w:r>
            <w:r w:rsidRPr="00441C23">
              <w:rPr>
                <w:rFonts w:cs="Arial"/>
                <w:noProof/>
              </w:rPr>
              <w:t>.</w:t>
            </w:r>
          </w:p>
        </w:tc>
      </w:tr>
    </w:tbl>
    <w:p w14:paraId="30D876EB" w14:textId="7CD62A96" w:rsidR="005930F8" w:rsidRDefault="005930F8" w:rsidP="005930F8">
      <w:pPr>
        <w:ind w:left="576"/>
        <w:rPr>
          <w:rFonts w:cs="Arial"/>
          <w:bCs/>
          <w:iCs/>
          <w:szCs w:val="20"/>
        </w:rPr>
      </w:pPr>
    </w:p>
    <w:p w14:paraId="3F2CB6B3" w14:textId="77777777" w:rsidR="0060457E" w:rsidRDefault="0060457E" w:rsidP="005930F8">
      <w:pPr>
        <w:ind w:left="576"/>
        <w:rPr>
          <w:rFonts w:cs="Arial"/>
          <w:bCs/>
          <w:iCs/>
          <w:szCs w:val="20"/>
        </w:rPr>
      </w:pPr>
    </w:p>
    <w:p w14:paraId="7B56E371" w14:textId="77777777" w:rsidR="006D75CD" w:rsidRPr="00EB32BB" w:rsidRDefault="006D75CD" w:rsidP="00CB2A38">
      <w:pPr>
        <w:pStyle w:val="Heading02"/>
        <w:numPr>
          <w:ilvl w:val="0"/>
          <w:numId w:val="14"/>
        </w:numPr>
        <w:rPr>
          <w:noProof/>
        </w:rPr>
      </w:pPr>
      <w:bookmarkStart w:id="18" w:name="_Toc318962138"/>
      <w:bookmarkStart w:id="19" w:name="_Toc453107802"/>
      <w:bookmarkStart w:id="20" w:name="_Toc492567090"/>
      <w:r w:rsidRPr="00EB32BB">
        <w:rPr>
          <w:noProof/>
        </w:rPr>
        <w:lastRenderedPageBreak/>
        <w:t xml:space="preserve">Impacts </w:t>
      </w:r>
      <w:r w:rsidR="00784486">
        <w:rPr>
          <w:noProof/>
        </w:rPr>
        <w:t>&amp; Other Considerations</w:t>
      </w:r>
      <w:bookmarkEnd w:id="18"/>
      <w:bookmarkEnd w:id="19"/>
      <w:bookmarkEnd w:id="20"/>
    </w:p>
    <w:p w14:paraId="4F607098"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41CC4B83" w14:textId="53B05A64" w:rsidR="00586BD1" w:rsidRDefault="00AD111B" w:rsidP="00E009B3">
      <w:pPr>
        <w:pStyle w:val="Heading2"/>
        <w:numPr>
          <w:ilvl w:val="1"/>
          <w:numId w:val="14"/>
        </w:numPr>
        <w:spacing w:before="240" w:after="60" w:line="360" w:lineRule="auto"/>
        <w:jc w:val="both"/>
        <w:rPr>
          <w:color w:val="auto"/>
          <w:sz w:val="20"/>
          <w:szCs w:val="20"/>
        </w:rPr>
      </w:pPr>
      <w:r>
        <w:rPr>
          <w:color w:val="auto"/>
          <w:sz w:val="20"/>
          <w:szCs w:val="20"/>
        </w:rPr>
        <w:t>The Working Group discussed whether it would be better if the intent of this change is reviewed as part of Ofgem’s SCR</w:t>
      </w:r>
      <w:r w:rsidR="00642EBA">
        <w:rPr>
          <w:color w:val="auto"/>
          <w:sz w:val="20"/>
          <w:szCs w:val="20"/>
        </w:rPr>
        <w:t xml:space="preserve"> or</w:t>
      </w:r>
      <w:r w:rsidR="009710EF">
        <w:rPr>
          <w:color w:val="auto"/>
          <w:sz w:val="20"/>
          <w:szCs w:val="20"/>
        </w:rPr>
        <w:t xml:space="preserve"> the</w:t>
      </w:r>
      <w:r w:rsidR="00642EBA">
        <w:rPr>
          <w:color w:val="auto"/>
          <w:sz w:val="20"/>
          <w:szCs w:val="20"/>
        </w:rPr>
        <w:t xml:space="preserve"> wider CDCM Review.</w:t>
      </w:r>
      <w:r w:rsidR="00C93823">
        <w:rPr>
          <w:color w:val="auto"/>
          <w:sz w:val="20"/>
          <w:szCs w:val="20"/>
        </w:rPr>
        <w:t xml:space="preserve"> Ofgem provided two </w:t>
      </w:r>
      <w:r w:rsidR="005373FB">
        <w:rPr>
          <w:color w:val="auto"/>
          <w:sz w:val="20"/>
          <w:szCs w:val="20"/>
        </w:rPr>
        <w:t>papers for</w:t>
      </w:r>
      <w:r w:rsidR="00C93823">
        <w:rPr>
          <w:color w:val="auto"/>
          <w:sz w:val="20"/>
          <w:szCs w:val="20"/>
        </w:rPr>
        <w:t xml:space="preserve"> the Working Group to review and d</w:t>
      </w:r>
      <w:r w:rsidR="00F46BE3">
        <w:rPr>
          <w:color w:val="auto"/>
          <w:sz w:val="20"/>
          <w:szCs w:val="20"/>
        </w:rPr>
        <w:t xml:space="preserve">ecide whether the </w:t>
      </w:r>
      <w:r w:rsidR="003A294F">
        <w:rPr>
          <w:color w:val="auto"/>
          <w:sz w:val="20"/>
          <w:szCs w:val="20"/>
        </w:rPr>
        <w:t>change is</w:t>
      </w:r>
      <w:r w:rsidR="00C93823">
        <w:rPr>
          <w:color w:val="auto"/>
          <w:sz w:val="20"/>
          <w:szCs w:val="20"/>
        </w:rPr>
        <w:t xml:space="preserve"> under the Working Group’s remit or whether they should be considered by the SCR or the </w:t>
      </w:r>
      <w:r w:rsidR="003A294F">
        <w:rPr>
          <w:color w:val="auto"/>
          <w:sz w:val="20"/>
          <w:szCs w:val="20"/>
        </w:rPr>
        <w:t>CFF and one of its Task Forces</w:t>
      </w:r>
      <w:r w:rsidR="00C93823">
        <w:rPr>
          <w:color w:val="auto"/>
          <w:sz w:val="20"/>
          <w:szCs w:val="20"/>
        </w:rPr>
        <w:t>.</w:t>
      </w:r>
    </w:p>
    <w:p w14:paraId="7D781919" w14:textId="154EDAAF" w:rsidR="00671CD7" w:rsidRDefault="003A294F" w:rsidP="00671CD7">
      <w:pPr>
        <w:pStyle w:val="Heading2"/>
        <w:numPr>
          <w:ilvl w:val="1"/>
          <w:numId w:val="14"/>
        </w:numPr>
        <w:spacing w:before="240" w:after="60" w:line="360" w:lineRule="auto"/>
        <w:jc w:val="both"/>
        <w:rPr>
          <w:color w:val="auto"/>
          <w:sz w:val="20"/>
          <w:szCs w:val="20"/>
        </w:rPr>
      </w:pPr>
      <w:r>
        <w:rPr>
          <w:color w:val="auto"/>
          <w:sz w:val="20"/>
          <w:szCs w:val="20"/>
        </w:rPr>
        <w:t xml:space="preserve">The Working Group highlighted that one of the </w:t>
      </w:r>
      <w:r w:rsidR="005D12F7">
        <w:rPr>
          <w:color w:val="auto"/>
          <w:sz w:val="20"/>
          <w:szCs w:val="20"/>
        </w:rPr>
        <w:t xml:space="preserve">SCR is </w:t>
      </w:r>
      <w:r>
        <w:rPr>
          <w:color w:val="auto"/>
          <w:sz w:val="20"/>
          <w:szCs w:val="20"/>
        </w:rPr>
        <w:t>reviewing residual charges</w:t>
      </w:r>
      <w:r w:rsidR="005D12F7">
        <w:rPr>
          <w:color w:val="auto"/>
          <w:sz w:val="20"/>
          <w:szCs w:val="20"/>
        </w:rPr>
        <w:t xml:space="preserve">, while the task forces will be covering forward-looking charges and access arrangements. As the Working Group are </w:t>
      </w:r>
      <w:r>
        <w:rPr>
          <w:color w:val="auto"/>
          <w:sz w:val="20"/>
          <w:szCs w:val="20"/>
        </w:rPr>
        <w:t>solel</w:t>
      </w:r>
      <w:r w:rsidR="00671CD7">
        <w:rPr>
          <w:color w:val="auto"/>
          <w:sz w:val="20"/>
          <w:szCs w:val="20"/>
        </w:rPr>
        <w:t>y focuss</w:t>
      </w:r>
      <w:r w:rsidR="005D12F7">
        <w:rPr>
          <w:color w:val="auto"/>
          <w:sz w:val="20"/>
          <w:szCs w:val="20"/>
        </w:rPr>
        <w:t>ing</w:t>
      </w:r>
      <w:r w:rsidR="00671CD7">
        <w:rPr>
          <w:color w:val="auto"/>
          <w:sz w:val="20"/>
          <w:szCs w:val="20"/>
        </w:rPr>
        <w:t xml:space="preserve"> on the PCDM</w:t>
      </w:r>
      <w:r w:rsidR="005D12F7">
        <w:rPr>
          <w:color w:val="auto"/>
          <w:sz w:val="20"/>
          <w:szCs w:val="20"/>
        </w:rPr>
        <w:t>, there is no direct interaction between this proposal and the SCR. Therefore,</w:t>
      </w:r>
      <w:r w:rsidR="00671CD7">
        <w:rPr>
          <w:color w:val="auto"/>
          <w:sz w:val="20"/>
          <w:szCs w:val="20"/>
        </w:rPr>
        <w:t xml:space="preserve"> </w:t>
      </w:r>
      <w:r w:rsidR="005D12F7">
        <w:rPr>
          <w:color w:val="auto"/>
          <w:sz w:val="20"/>
          <w:szCs w:val="20"/>
        </w:rPr>
        <w:t xml:space="preserve">unless </w:t>
      </w:r>
      <w:r w:rsidR="00671CD7">
        <w:rPr>
          <w:color w:val="auto"/>
          <w:sz w:val="20"/>
          <w:szCs w:val="20"/>
        </w:rPr>
        <w:t>the Working Group</w:t>
      </w:r>
      <w:r w:rsidR="005D12F7">
        <w:rPr>
          <w:color w:val="auto"/>
          <w:sz w:val="20"/>
          <w:szCs w:val="20"/>
        </w:rPr>
        <w:t xml:space="preserve"> are given direction by Ofgem to put the proposal on hold, they are going to continue to discuss the solution. </w:t>
      </w:r>
    </w:p>
    <w:p w14:paraId="3DF60A22" w14:textId="1D36C474" w:rsidR="00DF3C48" w:rsidRDefault="00671CD7" w:rsidP="00DF3C48">
      <w:pPr>
        <w:pStyle w:val="ListParagraph"/>
        <w:numPr>
          <w:ilvl w:val="1"/>
          <w:numId w:val="14"/>
        </w:numPr>
      </w:pPr>
      <w:r>
        <w:t xml:space="preserve">The Ofgem representative </w:t>
      </w:r>
      <w:r w:rsidR="00DF3C48">
        <w:t xml:space="preserve">highlighted that </w:t>
      </w:r>
      <w:r w:rsidR="005D12F7">
        <w:t>the proposal could eventually be covered by the task forces and any changes as a result of this proposal could be superseded by the outcomes of the task forces at a later date</w:t>
      </w:r>
      <w:r w:rsidR="00DF3C48">
        <w:t xml:space="preserve">. </w:t>
      </w:r>
      <w:r w:rsidR="001A1E20">
        <w:t>This was noted by the Working Group.</w:t>
      </w:r>
    </w:p>
    <w:tbl>
      <w:tblPr>
        <w:tblStyle w:val="TableList2"/>
        <w:tblW w:w="0" w:type="auto"/>
        <w:tblLook w:val="04A0" w:firstRow="1" w:lastRow="0" w:firstColumn="1" w:lastColumn="0" w:noHBand="0" w:noVBand="1"/>
      </w:tblPr>
      <w:tblGrid>
        <w:gridCol w:w="9346"/>
      </w:tblGrid>
      <w:tr w:rsidR="00DF3C48" w14:paraId="75C5CD60" w14:textId="77777777" w:rsidTr="00DF3C48">
        <w:trPr>
          <w:cnfStyle w:val="100000000000" w:firstRow="1" w:lastRow="0" w:firstColumn="0" w:lastColumn="0" w:oddVBand="0" w:evenVBand="0" w:oddHBand="0" w:evenHBand="0" w:firstRowFirstColumn="0" w:firstRowLastColumn="0" w:lastRowFirstColumn="0" w:lastRowLastColumn="0"/>
        </w:trPr>
        <w:tc>
          <w:tcPr>
            <w:tcW w:w="9346" w:type="dxa"/>
          </w:tcPr>
          <w:p w14:paraId="59B4524A" w14:textId="790DFB4E" w:rsidR="00DF3C48" w:rsidRDefault="00DF3C48" w:rsidP="00DF3C48">
            <w:r>
              <w:t>Q</w:t>
            </w:r>
            <w:r w:rsidR="001A1E20">
              <w:t>4</w:t>
            </w:r>
            <w:r>
              <w:t>: Do you agree that the change should continue to be assessed via the DCUSA Change Process and not the SCR, CFF or wider Task Forces?</w:t>
            </w:r>
          </w:p>
        </w:tc>
      </w:tr>
    </w:tbl>
    <w:p w14:paraId="6E348ABA" w14:textId="77777777" w:rsidR="00DF3C48" w:rsidRPr="00671CD7" w:rsidRDefault="00DF3C48" w:rsidP="00DF3C48"/>
    <w:p w14:paraId="5579C7B1" w14:textId="30DE5E9E"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2C34A537" w14:textId="176F26BF" w:rsidR="00010E94" w:rsidRDefault="00010E94" w:rsidP="00010E94">
      <w:pPr>
        <w:pStyle w:val="Heading2"/>
        <w:numPr>
          <w:ilvl w:val="1"/>
          <w:numId w:val="14"/>
        </w:numPr>
        <w:spacing w:before="240" w:after="60" w:line="360" w:lineRule="auto"/>
        <w:rPr>
          <w:color w:val="auto"/>
          <w:sz w:val="20"/>
          <w:szCs w:val="20"/>
        </w:rPr>
      </w:pPr>
      <w:r>
        <w:rPr>
          <w:color w:val="auto"/>
          <w:sz w:val="20"/>
          <w:szCs w:val="20"/>
        </w:rPr>
        <w:t xml:space="preserve">The Working Group requested that the DCUSA Modeller conduct an update on the PCDM to reflect the impacts on the consumer and LDNO Tariffs when allocating the Ofgem </w:t>
      </w:r>
      <w:r w:rsidR="00F91525">
        <w:rPr>
          <w:color w:val="auto"/>
          <w:sz w:val="20"/>
          <w:szCs w:val="20"/>
        </w:rPr>
        <w:t>l</w:t>
      </w:r>
      <w:r>
        <w:rPr>
          <w:color w:val="auto"/>
          <w:sz w:val="20"/>
          <w:szCs w:val="20"/>
        </w:rPr>
        <w:t xml:space="preserve">icence </w:t>
      </w:r>
      <w:r w:rsidR="00F91525">
        <w:rPr>
          <w:color w:val="auto"/>
          <w:sz w:val="20"/>
          <w:szCs w:val="20"/>
        </w:rPr>
        <w:t>f</w:t>
      </w:r>
      <w:r>
        <w:rPr>
          <w:color w:val="auto"/>
          <w:sz w:val="20"/>
          <w:szCs w:val="20"/>
        </w:rPr>
        <w:t>ees to LV voltage level customers</w:t>
      </w:r>
      <w:r w:rsidR="009A1FC2">
        <w:rPr>
          <w:color w:val="auto"/>
          <w:sz w:val="20"/>
          <w:szCs w:val="20"/>
        </w:rPr>
        <w:t xml:space="preserve"> (Attachment 5)</w:t>
      </w:r>
      <w:r>
        <w:rPr>
          <w:color w:val="auto"/>
          <w:sz w:val="20"/>
          <w:szCs w:val="20"/>
        </w:rPr>
        <w:t>.</w:t>
      </w:r>
    </w:p>
    <w:p w14:paraId="7B0C6703" w14:textId="20A54077" w:rsidR="00010E94" w:rsidRDefault="00010E94" w:rsidP="00010E94">
      <w:pPr>
        <w:pStyle w:val="ListParagraph"/>
        <w:numPr>
          <w:ilvl w:val="1"/>
          <w:numId w:val="14"/>
        </w:numPr>
      </w:pPr>
      <w:r>
        <w:t>The following outcomes came from the Modelling update:</w:t>
      </w:r>
    </w:p>
    <w:p w14:paraId="150B241B" w14:textId="72B4E078" w:rsidR="00010E94" w:rsidRDefault="001A1E20" w:rsidP="00010E94">
      <w:pPr>
        <w:pStyle w:val="ListParagraph"/>
        <w:numPr>
          <w:ilvl w:val="0"/>
          <w:numId w:val="39"/>
        </w:numPr>
      </w:pPr>
      <w:commentRangeStart w:id="21"/>
      <w:r>
        <w:t>There</w:t>
      </w:r>
      <w:r w:rsidR="00010E94">
        <w:t xml:space="preserve"> would </w:t>
      </w:r>
      <w:r>
        <w:t xml:space="preserve">be an </w:t>
      </w:r>
      <w:r w:rsidR="00010E94">
        <w:t xml:space="preserve">increase </w:t>
      </w:r>
      <w:r>
        <w:t xml:space="preserve">in </w:t>
      </w:r>
      <w:r w:rsidR="00010E94">
        <w:t xml:space="preserve">discount percentages in the case of for LV end-user demand, and </w:t>
      </w:r>
      <w:r>
        <w:t xml:space="preserve">a </w:t>
      </w:r>
      <w:r w:rsidR="00010E94">
        <w:t>reduce</w:t>
      </w:r>
      <w:r>
        <w:t>d</w:t>
      </w:r>
      <w:r w:rsidR="00010E94">
        <w:t xml:space="preserve"> discount per</w:t>
      </w:r>
      <w:r w:rsidR="005D12F7">
        <w:t>centages in all other cases;</w:t>
      </w:r>
    </w:p>
    <w:p w14:paraId="28739FD6" w14:textId="537AF165" w:rsidR="00010E94" w:rsidRDefault="00010E94" w:rsidP="00010E94">
      <w:pPr>
        <w:pStyle w:val="ListParagraph"/>
        <w:numPr>
          <w:ilvl w:val="0"/>
          <w:numId w:val="39"/>
        </w:numPr>
      </w:pPr>
      <w:r>
        <w:t xml:space="preserve">The largest impact is on discount percentages for LV end-user demand with a LV LDNO boundary. For this configuration, the increase in discount percentages caused by DCP 306 would range from </w:t>
      </w:r>
      <w:r w:rsidR="005D12F7">
        <w:rPr>
          <w:highlight w:val="yellow"/>
        </w:rPr>
        <w:t>0.22 per</w:t>
      </w:r>
      <w:r w:rsidRPr="00010E94">
        <w:rPr>
          <w:highlight w:val="yellow"/>
        </w:rPr>
        <w:t>cent</w:t>
      </w:r>
      <w:r w:rsidR="005D12F7">
        <w:rPr>
          <w:highlight w:val="yellow"/>
        </w:rPr>
        <w:t>age points</w:t>
      </w:r>
      <w:r w:rsidRPr="00010E94">
        <w:rPr>
          <w:highlight w:val="yellow"/>
        </w:rPr>
        <w:t xml:space="preserve"> to 0.51 percent</w:t>
      </w:r>
      <w:r w:rsidR="005D12F7">
        <w:t>age points</w:t>
      </w:r>
      <w:r>
        <w:t>;</w:t>
      </w:r>
    </w:p>
    <w:p w14:paraId="089C780D" w14:textId="01A4CA2E" w:rsidR="00010E94" w:rsidRDefault="00010E94" w:rsidP="00010E94">
      <w:pPr>
        <w:pStyle w:val="ListParagraph"/>
        <w:numPr>
          <w:ilvl w:val="0"/>
          <w:numId w:val="39"/>
        </w:numPr>
      </w:pPr>
      <w:r>
        <w:t xml:space="preserve">For LV end-user demand with a HV or HV plus LDNO boundary, the increase in discount percentages caused by DCP 306 would range from </w:t>
      </w:r>
      <w:r w:rsidRPr="00010E94">
        <w:rPr>
          <w:highlight w:val="yellow"/>
        </w:rPr>
        <w:t>0</w:t>
      </w:r>
      <w:r w:rsidR="005D12F7">
        <w:rPr>
          <w:highlight w:val="yellow"/>
        </w:rPr>
        <w:t>.05 per</w:t>
      </w:r>
      <w:r>
        <w:rPr>
          <w:highlight w:val="yellow"/>
        </w:rPr>
        <w:t>cent</w:t>
      </w:r>
      <w:r w:rsidR="005D12F7">
        <w:rPr>
          <w:highlight w:val="yellow"/>
        </w:rPr>
        <w:t>age points</w:t>
      </w:r>
      <w:r>
        <w:rPr>
          <w:highlight w:val="yellow"/>
        </w:rPr>
        <w:t xml:space="preserve"> to 0.31 percent</w:t>
      </w:r>
      <w:r w:rsidR="005D12F7">
        <w:rPr>
          <w:highlight w:val="yellow"/>
        </w:rPr>
        <w:t>age points</w:t>
      </w:r>
      <w:r>
        <w:rPr>
          <w:highlight w:val="yellow"/>
        </w:rPr>
        <w:t>;</w:t>
      </w:r>
    </w:p>
    <w:p w14:paraId="39B9426F" w14:textId="3454D2A4" w:rsidR="00010E94" w:rsidRDefault="00010E94" w:rsidP="00010E94">
      <w:pPr>
        <w:pStyle w:val="ListParagraph"/>
        <w:numPr>
          <w:ilvl w:val="0"/>
          <w:numId w:val="39"/>
        </w:numPr>
      </w:pPr>
      <w:r>
        <w:t xml:space="preserve">The largest reduction in discount percentages caused by DCP 306 is </w:t>
      </w:r>
      <w:r w:rsidRPr="00010E94">
        <w:rPr>
          <w:highlight w:val="yellow"/>
        </w:rPr>
        <w:t>0.12 percent</w:t>
      </w:r>
      <w:r w:rsidR="005D12F7">
        <w:t>age points</w:t>
      </w:r>
      <w:r>
        <w:t>; this is for HV end user demand with a HV plus LDNO boundary in the Northern Powergrid Northeast area; and</w:t>
      </w:r>
    </w:p>
    <w:p w14:paraId="27942FFE" w14:textId="5F263D4F" w:rsidR="00010E94" w:rsidRPr="00010E94" w:rsidRDefault="00010E94" w:rsidP="00010E94">
      <w:pPr>
        <w:pStyle w:val="ListParagraph"/>
        <w:numPr>
          <w:ilvl w:val="0"/>
          <w:numId w:val="39"/>
        </w:numPr>
      </w:pPr>
      <w:r>
        <w:t>There are some small increases (</w:t>
      </w:r>
      <w:r w:rsidR="005D12F7">
        <w:rPr>
          <w:highlight w:val="yellow"/>
        </w:rPr>
        <w:t>up to 0.27 per</w:t>
      </w:r>
      <w:r w:rsidRPr="00010E94">
        <w:rPr>
          <w:highlight w:val="yellow"/>
        </w:rPr>
        <w:t>cent</w:t>
      </w:r>
      <w:r w:rsidR="005D12F7">
        <w:t>age points</w:t>
      </w:r>
      <w:bookmarkStart w:id="22" w:name="_GoBack"/>
      <w:bookmarkEnd w:id="22"/>
      <w:r>
        <w:t>) to CDCM end user tariffs in all DNO areas</w:t>
      </w:r>
      <w:commentRangeEnd w:id="21"/>
      <w:r w:rsidR="001A1E20">
        <w:rPr>
          <w:rStyle w:val="CommentReference"/>
        </w:rPr>
        <w:commentReference w:id="21"/>
      </w:r>
      <w:r>
        <w:t>.</w:t>
      </w:r>
    </w:p>
    <w:p w14:paraId="4DCC59E3"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Environmental Impacts</w:t>
      </w:r>
    </w:p>
    <w:p w14:paraId="33A143A4" w14:textId="5F73F8C8" w:rsidR="00586BD1" w:rsidRPr="0041741F" w:rsidRDefault="00586BD1" w:rsidP="00586BD1">
      <w:pPr>
        <w:pStyle w:val="Heading2"/>
        <w:numPr>
          <w:ilvl w:val="1"/>
          <w:numId w:val="14"/>
        </w:numPr>
        <w:spacing w:before="240" w:after="60" w:line="360" w:lineRule="auto"/>
        <w:rPr>
          <w:color w:val="auto"/>
          <w:sz w:val="20"/>
          <w:szCs w:val="20"/>
        </w:rPr>
      </w:pPr>
      <w:r w:rsidRPr="0041741F">
        <w:rPr>
          <w:color w:val="auto"/>
          <w:sz w:val="20"/>
          <w:szCs w:val="20"/>
        </w:rPr>
        <w:t xml:space="preserve">In accordance with DCUSA Clause 11.14.6, the </w:t>
      </w:r>
      <w:r w:rsidR="00345728">
        <w:rPr>
          <w:color w:val="auto"/>
          <w:sz w:val="20"/>
          <w:szCs w:val="20"/>
        </w:rPr>
        <w:t>Working Group</w:t>
      </w:r>
      <w:r>
        <w:rPr>
          <w:color w:val="auto"/>
          <w:sz w:val="20"/>
          <w:szCs w:val="20"/>
        </w:rPr>
        <w:t xml:space="preserve"> </w:t>
      </w:r>
      <w:r w:rsidRPr="0041741F">
        <w:rPr>
          <w:color w:val="auto"/>
          <w:sz w:val="20"/>
          <w:szCs w:val="20"/>
        </w:rPr>
        <w:t xml:space="preserve">assessed whether there would be a material impact on greenhouse gas emissions if </w:t>
      </w:r>
      <w:r w:rsidR="001A1E20">
        <w:rPr>
          <w:color w:val="auto"/>
          <w:sz w:val="20"/>
          <w:szCs w:val="20"/>
        </w:rPr>
        <w:t>this CP</w:t>
      </w:r>
      <w:r w:rsidR="00C80BD9">
        <w:rPr>
          <w:color w:val="auto"/>
          <w:sz w:val="20"/>
          <w:szCs w:val="20"/>
        </w:rPr>
        <w:t xml:space="preserve"> </w:t>
      </w:r>
      <w:r w:rsidR="009A1FC2" w:rsidRPr="0041741F">
        <w:rPr>
          <w:color w:val="auto"/>
          <w:sz w:val="20"/>
          <w:szCs w:val="20"/>
        </w:rPr>
        <w:t>w</w:t>
      </w:r>
      <w:r w:rsidR="009A1FC2">
        <w:rPr>
          <w:color w:val="auto"/>
          <w:sz w:val="20"/>
          <w:szCs w:val="20"/>
        </w:rPr>
        <w:t>as</w:t>
      </w:r>
      <w:r w:rsidR="009A1FC2" w:rsidRPr="0041741F">
        <w:rPr>
          <w:color w:val="auto"/>
          <w:sz w:val="20"/>
          <w:szCs w:val="20"/>
        </w:rPr>
        <w:t xml:space="preserve"> </w:t>
      </w:r>
      <w:r w:rsidRPr="0041741F">
        <w:rPr>
          <w:color w:val="auto"/>
          <w:sz w:val="20"/>
          <w:szCs w:val="20"/>
        </w:rPr>
        <w:t xml:space="preserve">implemented. The </w:t>
      </w:r>
      <w:r w:rsidR="00345728">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4CACACD0"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176E9749" w14:textId="21C90774" w:rsidR="002733C1" w:rsidRDefault="002733C1" w:rsidP="00832598">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w:t>
      </w:r>
      <w:r w:rsidR="001A1E20">
        <w:rPr>
          <w:rFonts w:cs="Times New Roman"/>
          <w:bCs w:val="0"/>
          <w:iCs w:val="0"/>
          <w:color w:val="auto"/>
          <w:sz w:val="20"/>
          <w:szCs w:val="24"/>
        </w:rPr>
        <w:t>this CP</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5373FB" w14:paraId="2A5B73CC" w14:textId="77777777" w:rsidTr="005373FB">
        <w:trPr>
          <w:cnfStyle w:val="100000000000" w:firstRow="1" w:lastRow="0" w:firstColumn="0" w:lastColumn="0" w:oddVBand="0" w:evenVBand="0" w:oddHBand="0" w:evenHBand="0" w:firstRowFirstColumn="0" w:firstRowLastColumn="0" w:lastRowFirstColumn="0" w:lastRowLastColumn="0"/>
        </w:trPr>
        <w:tc>
          <w:tcPr>
            <w:tcW w:w="9346" w:type="dxa"/>
          </w:tcPr>
          <w:p w14:paraId="69818F18" w14:textId="2CBB90A6" w:rsidR="005373FB" w:rsidRDefault="005373FB" w:rsidP="005373FB">
            <w:r>
              <w:t>Q5: Do you have any further comments for the Working Group?</w:t>
            </w:r>
          </w:p>
        </w:tc>
      </w:tr>
    </w:tbl>
    <w:p w14:paraId="382FB765" w14:textId="77777777" w:rsidR="005373FB" w:rsidRPr="005373FB" w:rsidRDefault="005373FB" w:rsidP="005373FB"/>
    <w:p w14:paraId="70EF8867" w14:textId="53A5ED6C" w:rsidR="005930F8" w:rsidRPr="005930F8" w:rsidRDefault="005930F8" w:rsidP="005930F8"/>
    <w:p w14:paraId="3050D167" w14:textId="77777777" w:rsidR="00450385" w:rsidRPr="00EB32BB" w:rsidRDefault="00C31A20" w:rsidP="00CC0C7A">
      <w:pPr>
        <w:pStyle w:val="Heading02"/>
        <w:keepNext w:val="0"/>
        <w:numPr>
          <w:ilvl w:val="0"/>
          <w:numId w:val="14"/>
        </w:numPr>
        <w:rPr>
          <w:noProof/>
        </w:rPr>
      </w:pPr>
      <w:bookmarkStart w:id="23" w:name="_Toc318962140"/>
      <w:bookmarkStart w:id="24" w:name="_Toc453107803"/>
      <w:bookmarkStart w:id="25" w:name="_Toc492567091"/>
      <w:r w:rsidRPr="00EB32BB">
        <w:rPr>
          <w:noProof/>
        </w:rPr>
        <w:t>Imple</w:t>
      </w:r>
      <w:r w:rsidR="00461C2F" w:rsidRPr="00EB32BB">
        <w:rPr>
          <w:noProof/>
        </w:rPr>
        <w:t>me</w:t>
      </w:r>
      <w:r w:rsidRPr="00EB32BB">
        <w:rPr>
          <w:noProof/>
        </w:rPr>
        <w:t>ntation</w:t>
      </w:r>
      <w:bookmarkEnd w:id="23"/>
      <w:bookmarkEnd w:id="24"/>
      <w:bookmarkEnd w:id="25"/>
    </w:p>
    <w:p w14:paraId="277E2B2B" w14:textId="34F7F018" w:rsidR="00B708FB" w:rsidRDefault="00642EBA" w:rsidP="00CC0C7A">
      <w:pPr>
        <w:pStyle w:val="Heading2"/>
        <w:keepNext w:val="0"/>
        <w:numPr>
          <w:ilvl w:val="1"/>
          <w:numId w:val="14"/>
        </w:numPr>
        <w:spacing w:before="240" w:after="60" w:line="360" w:lineRule="auto"/>
        <w:rPr>
          <w:rFonts w:cs="Times New Roman"/>
          <w:bCs w:val="0"/>
          <w:iCs w:val="0"/>
          <w:color w:val="auto"/>
          <w:sz w:val="20"/>
          <w:szCs w:val="24"/>
        </w:rPr>
      </w:pPr>
      <w:r>
        <w:rPr>
          <w:rFonts w:cs="Times New Roman"/>
          <w:bCs w:val="0"/>
          <w:iCs w:val="0"/>
          <w:color w:val="auto"/>
          <w:sz w:val="20"/>
          <w:szCs w:val="24"/>
        </w:rPr>
        <w:t xml:space="preserve">The original proposed implementation date for </w:t>
      </w:r>
      <w:r w:rsidR="001A1E20">
        <w:rPr>
          <w:rFonts w:cs="Times New Roman"/>
          <w:bCs w:val="0"/>
          <w:iCs w:val="0"/>
          <w:color w:val="auto"/>
          <w:sz w:val="20"/>
          <w:szCs w:val="24"/>
        </w:rPr>
        <w:t xml:space="preserve">this CP </w:t>
      </w:r>
      <w:r>
        <w:rPr>
          <w:rFonts w:cs="Times New Roman"/>
          <w:bCs w:val="0"/>
          <w:iCs w:val="0"/>
          <w:color w:val="auto"/>
          <w:sz w:val="20"/>
          <w:szCs w:val="24"/>
        </w:rPr>
        <w:t xml:space="preserve">was 01 April 2019. </w:t>
      </w:r>
      <w:r w:rsidR="00AD111B">
        <w:rPr>
          <w:rFonts w:cs="Times New Roman"/>
          <w:bCs w:val="0"/>
          <w:iCs w:val="0"/>
          <w:color w:val="auto"/>
          <w:sz w:val="20"/>
          <w:szCs w:val="24"/>
        </w:rPr>
        <w:t xml:space="preserve">However, on further reflection the Working Group agreed that this could be too ambitious and agreed that the implementation date would be </w:t>
      </w:r>
      <w:r w:rsidR="00642E23">
        <w:rPr>
          <w:rFonts w:cs="Times New Roman"/>
          <w:bCs w:val="0"/>
          <w:iCs w:val="0"/>
          <w:color w:val="auto"/>
          <w:sz w:val="20"/>
          <w:szCs w:val="24"/>
        </w:rPr>
        <w:t>more feasible on 01 April 2020.</w:t>
      </w:r>
    </w:p>
    <w:p w14:paraId="505CF809" w14:textId="25FD9C7A" w:rsidR="00642E23" w:rsidRPr="00642E23" w:rsidRDefault="00642E23" w:rsidP="00642E23">
      <w:pPr>
        <w:pStyle w:val="ListParagraph"/>
        <w:numPr>
          <w:ilvl w:val="1"/>
          <w:numId w:val="14"/>
        </w:numPr>
      </w:pPr>
      <w:r>
        <w:t>Respondents to the first consultation agreed that an implementation date of 01 April 2020 would be the most feasible date</w:t>
      </w:r>
      <w:r w:rsidR="001A1E20">
        <w:t>, and as such is the date the Working Group are proposing.</w:t>
      </w:r>
    </w:p>
    <w:p w14:paraId="6A76A5F8" w14:textId="563E0EF6" w:rsidR="005930F8" w:rsidRPr="005930F8" w:rsidRDefault="005930F8" w:rsidP="005930F8"/>
    <w:p w14:paraId="64C9F9F3" w14:textId="77777777" w:rsidR="00CC0C7A" w:rsidRPr="00EB32BB" w:rsidRDefault="00CC0C7A" w:rsidP="00CC0C7A">
      <w:pPr>
        <w:pStyle w:val="Heading02"/>
        <w:numPr>
          <w:ilvl w:val="0"/>
          <w:numId w:val="14"/>
        </w:numPr>
      </w:pPr>
      <w:bookmarkStart w:id="26" w:name="_Toc492567092"/>
      <w:r>
        <w:t>Consultation Questions</w:t>
      </w:r>
      <w:bookmarkEnd w:id="26"/>
    </w:p>
    <w:p w14:paraId="3386DDD5"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9488" w:type="dxa"/>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516"/>
      </w:tblGrid>
      <w:tr w:rsidR="00AD59E1" w:rsidRPr="00AD59E1" w14:paraId="6439CC8A" w14:textId="77777777" w:rsidTr="00642E23">
        <w:tc>
          <w:tcPr>
            <w:tcW w:w="0" w:type="auto"/>
            <w:shd w:val="clear" w:color="auto" w:fill="008576"/>
          </w:tcPr>
          <w:p w14:paraId="57F90633" w14:textId="77777777" w:rsidR="00AD59E1" w:rsidRPr="00AD59E1" w:rsidRDefault="00AD59E1" w:rsidP="00AD59E1">
            <w:pPr>
              <w:rPr>
                <w:b/>
                <w:color w:val="FFFFFF"/>
              </w:rPr>
            </w:pPr>
            <w:r w:rsidRPr="00AD59E1">
              <w:rPr>
                <w:b/>
                <w:color w:val="FFFFFF"/>
              </w:rPr>
              <w:t>Number</w:t>
            </w:r>
          </w:p>
        </w:tc>
        <w:tc>
          <w:tcPr>
            <w:tcW w:w="8516" w:type="dxa"/>
            <w:shd w:val="clear" w:color="auto" w:fill="008576"/>
          </w:tcPr>
          <w:p w14:paraId="076FB9DB" w14:textId="77777777" w:rsidR="00AD59E1" w:rsidRPr="00AD59E1" w:rsidRDefault="00AD59E1" w:rsidP="00AD59E1">
            <w:pPr>
              <w:rPr>
                <w:b/>
                <w:color w:val="FFFFFF"/>
              </w:rPr>
            </w:pPr>
            <w:r w:rsidRPr="00AD59E1">
              <w:rPr>
                <w:b/>
                <w:color w:val="FFFFFF"/>
              </w:rPr>
              <w:t>Questions</w:t>
            </w:r>
          </w:p>
        </w:tc>
      </w:tr>
      <w:tr w:rsidR="00AD59E1" w:rsidRPr="00AD59E1" w14:paraId="54B147DC" w14:textId="77777777" w:rsidTr="00642E23">
        <w:tc>
          <w:tcPr>
            <w:tcW w:w="0" w:type="auto"/>
            <w:shd w:val="clear" w:color="auto" w:fill="auto"/>
          </w:tcPr>
          <w:p w14:paraId="1868BD00" w14:textId="77777777" w:rsidR="00AD59E1" w:rsidRPr="00AD59E1" w:rsidRDefault="00AD59E1" w:rsidP="00AD59E1">
            <w:pPr>
              <w:numPr>
                <w:ilvl w:val="0"/>
                <w:numId w:val="29"/>
              </w:numPr>
              <w:rPr>
                <w:rFonts w:cs="Arial"/>
                <w:szCs w:val="20"/>
              </w:rPr>
            </w:pPr>
          </w:p>
        </w:tc>
        <w:tc>
          <w:tcPr>
            <w:tcW w:w="8516" w:type="dxa"/>
            <w:shd w:val="clear" w:color="auto" w:fill="auto"/>
          </w:tcPr>
          <w:p w14:paraId="05276DF0" w14:textId="031AB3F2" w:rsidR="00AD59E1" w:rsidRPr="00AD59E1" w:rsidRDefault="001A1E20" w:rsidP="00F11F92">
            <w:pPr>
              <w:widowControl w:val="0"/>
              <w:spacing w:line="360" w:lineRule="auto"/>
              <w:jc w:val="both"/>
              <w:outlineLvl w:val="1"/>
              <w:rPr>
                <w:rFonts w:cs="Arial"/>
                <w:bCs/>
                <w:iCs/>
                <w:szCs w:val="20"/>
              </w:rPr>
            </w:pPr>
            <w:r w:rsidRPr="005373FB">
              <w:rPr>
                <w:szCs w:val="20"/>
              </w:rPr>
              <w:t xml:space="preserve">Are Parties comfortable with the approach proposed by the Working Group to allocate the Ofgem </w:t>
            </w:r>
            <w:r w:rsidR="00F91525" w:rsidRPr="005373FB">
              <w:rPr>
                <w:szCs w:val="20"/>
              </w:rPr>
              <w:t>l</w:t>
            </w:r>
            <w:r w:rsidRPr="005373FB">
              <w:rPr>
                <w:szCs w:val="20"/>
              </w:rPr>
              <w:t xml:space="preserve">icence </w:t>
            </w:r>
            <w:r w:rsidR="00F91525" w:rsidRPr="005373FB">
              <w:rPr>
                <w:szCs w:val="20"/>
              </w:rPr>
              <w:t>f</w:t>
            </w:r>
            <w:r w:rsidRPr="005373FB">
              <w:rPr>
                <w:szCs w:val="20"/>
              </w:rPr>
              <w:t>ees to the LV Service Customers rather than allocating them across all voltage levels?</w:t>
            </w:r>
            <w:r w:rsidR="009A1FC2" w:rsidRPr="005373FB">
              <w:rPr>
                <w:szCs w:val="20"/>
              </w:rPr>
              <w:t xml:space="preserve"> If not</w:t>
            </w:r>
            <w:r w:rsidR="005373FB">
              <w:rPr>
                <w:szCs w:val="20"/>
              </w:rPr>
              <w:t>,</w:t>
            </w:r>
            <w:r w:rsidR="009A1FC2" w:rsidRPr="005373FB">
              <w:rPr>
                <w:szCs w:val="20"/>
              </w:rPr>
              <w:t xml:space="preserve"> provide your rationale.</w:t>
            </w:r>
          </w:p>
        </w:tc>
      </w:tr>
      <w:tr w:rsidR="002F6A92" w:rsidRPr="00AD59E1" w14:paraId="704FE946" w14:textId="77777777" w:rsidTr="00642E23">
        <w:tc>
          <w:tcPr>
            <w:tcW w:w="0" w:type="auto"/>
            <w:shd w:val="clear" w:color="auto" w:fill="auto"/>
          </w:tcPr>
          <w:p w14:paraId="301E9B30" w14:textId="77777777" w:rsidR="002F6A92" w:rsidRPr="005373FB" w:rsidRDefault="002F6A92" w:rsidP="00AD59E1">
            <w:pPr>
              <w:numPr>
                <w:ilvl w:val="0"/>
                <w:numId w:val="29"/>
              </w:numPr>
              <w:rPr>
                <w:rFonts w:cs="Arial"/>
                <w:szCs w:val="20"/>
              </w:rPr>
            </w:pPr>
          </w:p>
        </w:tc>
        <w:tc>
          <w:tcPr>
            <w:tcW w:w="8516" w:type="dxa"/>
            <w:shd w:val="clear" w:color="auto" w:fill="auto"/>
          </w:tcPr>
          <w:p w14:paraId="2134593B" w14:textId="33CB7457" w:rsidR="002F6A92" w:rsidRPr="005373FB" w:rsidRDefault="001A1E20" w:rsidP="00F11F92">
            <w:pPr>
              <w:widowControl w:val="0"/>
              <w:spacing w:line="360" w:lineRule="auto"/>
              <w:jc w:val="both"/>
              <w:outlineLvl w:val="1"/>
              <w:rPr>
                <w:rFonts w:cs="Arial"/>
                <w:bCs/>
                <w:iCs/>
                <w:szCs w:val="20"/>
              </w:rPr>
            </w:pPr>
            <w:r w:rsidRPr="005373FB">
              <w:t>Do you have any comments on the proposed legal text?</w:t>
            </w:r>
          </w:p>
        </w:tc>
      </w:tr>
      <w:tr w:rsidR="001A1E20" w:rsidRPr="00AD59E1" w14:paraId="4665EDF0" w14:textId="77777777" w:rsidTr="00642E23">
        <w:tc>
          <w:tcPr>
            <w:tcW w:w="0" w:type="auto"/>
            <w:shd w:val="clear" w:color="auto" w:fill="auto"/>
          </w:tcPr>
          <w:p w14:paraId="3FA5D8C3" w14:textId="77777777" w:rsidR="001A1E20" w:rsidRPr="005373FB" w:rsidRDefault="001A1E20" w:rsidP="00AD59E1">
            <w:pPr>
              <w:numPr>
                <w:ilvl w:val="0"/>
                <w:numId w:val="29"/>
              </w:numPr>
              <w:rPr>
                <w:rFonts w:cs="Arial"/>
                <w:szCs w:val="20"/>
              </w:rPr>
            </w:pPr>
          </w:p>
        </w:tc>
        <w:tc>
          <w:tcPr>
            <w:tcW w:w="8516" w:type="dxa"/>
            <w:shd w:val="clear" w:color="auto" w:fill="auto"/>
          </w:tcPr>
          <w:p w14:paraId="5879740D" w14:textId="27F07EC6" w:rsidR="001A1E20" w:rsidRPr="005373FB" w:rsidRDefault="001A1E20" w:rsidP="00F11F92">
            <w:pPr>
              <w:widowControl w:val="0"/>
              <w:spacing w:line="360" w:lineRule="auto"/>
              <w:jc w:val="both"/>
              <w:outlineLvl w:val="1"/>
            </w:pPr>
            <w:r w:rsidRPr="005373FB">
              <w:rPr>
                <w:rFonts w:cs="Arial"/>
                <w:bCs/>
                <w:iCs/>
                <w:szCs w:val="20"/>
              </w:rPr>
              <w:t>Which of the DCUSA Charging Objectives are better facilitated by this change? Please provide your rationale.</w:t>
            </w:r>
          </w:p>
        </w:tc>
      </w:tr>
      <w:tr w:rsidR="001A1E20" w:rsidRPr="00AD59E1" w14:paraId="6E943111" w14:textId="77777777" w:rsidTr="00642E23">
        <w:tc>
          <w:tcPr>
            <w:tcW w:w="0" w:type="auto"/>
            <w:shd w:val="clear" w:color="auto" w:fill="auto"/>
          </w:tcPr>
          <w:p w14:paraId="4B8992EB" w14:textId="77777777" w:rsidR="001A1E20" w:rsidRPr="005373FB" w:rsidRDefault="001A1E20" w:rsidP="00AD59E1">
            <w:pPr>
              <w:numPr>
                <w:ilvl w:val="0"/>
                <w:numId w:val="29"/>
              </w:numPr>
              <w:rPr>
                <w:rFonts w:cs="Arial"/>
                <w:szCs w:val="20"/>
              </w:rPr>
            </w:pPr>
          </w:p>
        </w:tc>
        <w:tc>
          <w:tcPr>
            <w:tcW w:w="8516" w:type="dxa"/>
            <w:shd w:val="clear" w:color="auto" w:fill="auto"/>
          </w:tcPr>
          <w:p w14:paraId="77D62D49" w14:textId="785AB093" w:rsidR="001A1E20" w:rsidRPr="005373FB" w:rsidRDefault="001A1E20" w:rsidP="00F11F92">
            <w:pPr>
              <w:widowControl w:val="0"/>
              <w:spacing w:line="360" w:lineRule="auto"/>
              <w:jc w:val="both"/>
              <w:outlineLvl w:val="1"/>
              <w:rPr>
                <w:rFonts w:cs="Arial"/>
                <w:bCs/>
                <w:iCs/>
                <w:szCs w:val="20"/>
              </w:rPr>
            </w:pPr>
            <w:r w:rsidRPr="005373FB">
              <w:t>Do you agree that the change should continue to be assessed via the DCUSA Change Process and not the SCR, CFF or wider Task Forces?</w:t>
            </w:r>
          </w:p>
        </w:tc>
      </w:tr>
      <w:tr w:rsidR="001A1E20" w:rsidRPr="00AD59E1" w14:paraId="45DD494A" w14:textId="77777777" w:rsidTr="00642E23">
        <w:tc>
          <w:tcPr>
            <w:tcW w:w="0" w:type="auto"/>
            <w:shd w:val="clear" w:color="auto" w:fill="auto"/>
          </w:tcPr>
          <w:p w14:paraId="31160D56" w14:textId="77777777" w:rsidR="001A1E20" w:rsidRPr="00AD59E1" w:rsidRDefault="001A1E20" w:rsidP="00AD59E1">
            <w:pPr>
              <w:numPr>
                <w:ilvl w:val="0"/>
                <w:numId w:val="29"/>
              </w:numPr>
              <w:rPr>
                <w:rFonts w:cs="Arial"/>
                <w:szCs w:val="20"/>
              </w:rPr>
            </w:pPr>
          </w:p>
        </w:tc>
        <w:tc>
          <w:tcPr>
            <w:tcW w:w="8516" w:type="dxa"/>
            <w:shd w:val="clear" w:color="auto" w:fill="auto"/>
          </w:tcPr>
          <w:p w14:paraId="360A57F6" w14:textId="6F50360D" w:rsidR="001A1E20" w:rsidRDefault="001A1E20" w:rsidP="00F11F92">
            <w:pPr>
              <w:widowControl w:val="0"/>
              <w:spacing w:line="360" w:lineRule="auto"/>
              <w:jc w:val="both"/>
              <w:outlineLvl w:val="1"/>
            </w:pPr>
            <w:r>
              <w:t>Do you have any other comments for the Working Group?</w:t>
            </w:r>
          </w:p>
        </w:tc>
      </w:tr>
    </w:tbl>
    <w:p w14:paraId="5670821C" w14:textId="3F1998A6"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w:t>
      </w:r>
      <w:r w:rsidR="00A03894">
        <w:rPr>
          <w:rFonts w:cs="Times New Roman"/>
          <w:bCs w:val="0"/>
          <w:iCs w:val="0"/>
          <w:color w:val="auto"/>
          <w:sz w:val="20"/>
          <w:szCs w:val="24"/>
        </w:rPr>
        <w:t>@electrali</w:t>
      </w:r>
      <w:r w:rsidR="00E40A1A">
        <w:rPr>
          <w:rFonts w:cs="Times New Roman"/>
          <w:bCs w:val="0"/>
          <w:iCs w:val="0"/>
          <w:color w:val="auto"/>
          <w:sz w:val="20"/>
          <w:szCs w:val="24"/>
        </w:rPr>
        <w:t>nk.co.</w:t>
      </w:r>
      <w:r w:rsidR="00642E23">
        <w:rPr>
          <w:rFonts w:cs="Times New Roman"/>
          <w:bCs w:val="0"/>
          <w:iCs w:val="0"/>
          <w:color w:val="auto"/>
          <w:sz w:val="20"/>
          <w:szCs w:val="24"/>
        </w:rPr>
        <w:t xml:space="preserve">uk no later than </w:t>
      </w:r>
      <w:r w:rsidR="00642E23" w:rsidRPr="00642E23">
        <w:rPr>
          <w:rFonts w:cs="Times New Roman"/>
          <w:bCs w:val="0"/>
          <w:iCs w:val="0"/>
          <w:color w:val="auto"/>
          <w:sz w:val="20"/>
          <w:szCs w:val="24"/>
          <w:highlight w:val="yellow"/>
        </w:rPr>
        <w:t>xx xxx xx</w:t>
      </w:r>
      <w:r w:rsidR="006248E3" w:rsidRPr="00642E23">
        <w:rPr>
          <w:rFonts w:cs="Times New Roman"/>
          <w:bCs w:val="0"/>
          <w:iCs w:val="0"/>
          <w:color w:val="auto"/>
          <w:sz w:val="20"/>
          <w:szCs w:val="24"/>
          <w:highlight w:val="yellow"/>
        </w:rPr>
        <w:t>.</w:t>
      </w:r>
      <w:r w:rsidRPr="00CC0C7A">
        <w:rPr>
          <w:rFonts w:cs="Times New Roman"/>
          <w:bCs w:val="0"/>
          <w:iCs w:val="0"/>
          <w:color w:val="auto"/>
          <w:sz w:val="20"/>
          <w:szCs w:val="24"/>
        </w:rPr>
        <w:t xml:space="preserve"> </w:t>
      </w:r>
    </w:p>
    <w:p w14:paraId="353C518D"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6115ED8"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43706F64" w14:textId="6569997B" w:rsidR="00071B36" w:rsidRDefault="00071B36" w:rsidP="00071B36">
      <w:pPr>
        <w:pStyle w:val="ListBullet2"/>
      </w:pPr>
      <w:r>
        <w:t xml:space="preserve">Attachment 1 </w:t>
      </w:r>
      <w:r w:rsidR="009A1FC2">
        <w:t xml:space="preserve">- DCUSA </w:t>
      </w:r>
      <w:r w:rsidR="005373FB">
        <w:t>Consultation Response</w:t>
      </w:r>
      <w:r w:rsidR="009A1FC2">
        <w:t xml:space="preserve"> form</w:t>
      </w:r>
    </w:p>
    <w:p w14:paraId="28F44FC1" w14:textId="710F93AD" w:rsidR="009A1FC2" w:rsidRDefault="009A1FC2" w:rsidP="00071B36">
      <w:pPr>
        <w:pStyle w:val="ListBullet2"/>
      </w:pPr>
      <w:r>
        <w:t xml:space="preserve">Attachment 2 – </w:t>
      </w:r>
      <w:r w:rsidR="005373FB">
        <w:t xml:space="preserve">DCP 306 </w:t>
      </w:r>
      <w:r>
        <w:t>Consultation 1</w:t>
      </w:r>
    </w:p>
    <w:p w14:paraId="42708765" w14:textId="077CC8D7" w:rsidR="009A1FC2" w:rsidRPr="00DF3AFE" w:rsidRDefault="009A1FC2" w:rsidP="00071B36">
      <w:pPr>
        <w:pStyle w:val="ListBullet2"/>
      </w:pPr>
      <w:r>
        <w:t xml:space="preserve">Attachment 3 – </w:t>
      </w:r>
      <w:r w:rsidR="005373FB">
        <w:t xml:space="preserve">DCP 306 </w:t>
      </w:r>
      <w:r>
        <w:t>Number of customers connected at LV network level</w:t>
      </w:r>
    </w:p>
    <w:p w14:paraId="1017C302" w14:textId="32200640" w:rsidR="00642E23" w:rsidRDefault="009A1FC2" w:rsidP="00C345E1">
      <w:pPr>
        <w:pStyle w:val="ListBullet2"/>
      </w:pPr>
      <w:r>
        <w:t xml:space="preserve">Attachment 4 – </w:t>
      </w:r>
      <w:r w:rsidR="005373FB">
        <w:t xml:space="preserve">DCP 306 Proposed </w:t>
      </w:r>
      <w:r>
        <w:t>Legal text</w:t>
      </w:r>
    </w:p>
    <w:p w14:paraId="7653FC1A" w14:textId="7161ED46" w:rsidR="009A1FC2" w:rsidRPr="00DF3AFE" w:rsidRDefault="009A1FC2" w:rsidP="00C345E1">
      <w:pPr>
        <w:pStyle w:val="ListBullet2"/>
      </w:pPr>
      <w:r>
        <w:t xml:space="preserve">Attachment 5 – </w:t>
      </w:r>
      <w:r w:rsidR="005373FB">
        <w:t xml:space="preserve">DCP 306 </w:t>
      </w:r>
      <w:r>
        <w:t>PDCM model and impact assessment</w:t>
      </w:r>
    </w:p>
    <w:sectPr w:rsidR="009A1FC2" w:rsidRPr="00DF3AFE" w:rsidSect="006F19E3">
      <w:headerReference w:type="default" r:id="rId24"/>
      <w:footerReference w:type="default" r:id="rId25"/>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John Lawton" w:date="2017-12-07T15:04:00Z" w:initials="JL">
    <w:p w14:paraId="1DF7B81A" w14:textId="66BBBB15" w:rsidR="00F91525" w:rsidRDefault="00F91525">
      <w:pPr>
        <w:pStyle w:val="CommentText"/>
      </w:pPr>
      <w:r>
        <w:rPr>
          <w:rStyle w:val="CommentReference"/>
        </w:rPr>
        <w:annotationRef/>
      </w:r>
      <w:r>
        <w:t>This section to be updated once the updated model received covering SP actual data. And perhaps we need to also understand what the impact on LDNO tariffs will be as well as discount percentages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F7B81A"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BA764" w14:textId="77777777" w:rsidR="006F795B" w:rsidRDefault="006F795B">
      <w:pPr>
        <w:spacing w:line="240" w:lineRule="auto"/>
      </w:pPr>
      <w:r>
        <w:separator/>
      </w:r>
    </w:p>
    <w:p w14:paraId="73A18F2D" w14:textId="77777777" w:rsidR="006F795B" w:rsidRDefault="006F795B"/>
  </w:endnote>
  <w:endnote w:type="continuationSeparator" w:id="0">
    <w:p w14:paraId="1F841044" w14:textId="77777777" w:rsidR="006F795B" w:rsidRDefault="006F795B">
      <w:pPr>
        <w:spacing w:line="240" w:lineRule="auto"/>
      </w:pPr>
      <w:r>
        <w:continuationSeparator/>
      </w:r>
    </w:p>
    <w:p w14:paraId="2870CF3B" w14:textId="77777777" w:rsidR="006F795B" w:rsidRDefault="006F7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DDA57" w14:textId="1DE2A202" w:rsidR="00F91525" w:rsidRDefault="00F91525"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306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5D12F7">
      <w:rPr>
        <w:rFonts w:cs="Arial"/>
        <w:noProof/>
        <w:sz w:val="16"/>
        <w:szCs w:val="16"/>
        <w:lang w:val="en-US"/>
      </w:rPr>
      <w:t>11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5D12F7">
      <w:rPr>
        <w:rFonts w:cs="Arial"/>
        <w:noProof/>
        <w:sz w:val="16"/>
        <w:szCs w:val="16"/>
        <w:lang w:val="en-US"/>
      </w:rPr>
      <w:t>11</w:t>
    </w:r>
    <w:r w:rsidRPr="000660DF">
      <w:rPr>
        <w:rFonts w:cs="Arial"/>
        <w:sz w:val="16"/>
        <w:szCs w:val="16"/>
        <w:lang w:val="en-US"/>
      </w:rPr>
      <w:fldChar w:fldCharType="end"/>
    </w:r>
    <w:r>
      <w:rPr>
        <w:rFonts w:cs="Arial"/>
        <w:sz w:val="16"/>
        <w:szCs w:val="16"/>
        <w:lang w:val="en-US"/>
      </w:rPr>
      <w:tab/>
      <w:t>Version 0.1</w:t>
    </w:r>
  </w:p>
  <w:p w14:paraId="33EE342B" w14:textId="5C475D66" w:rsidR="00F91525" w:rsidRPr="000660DF" w:rsidRDefault="00F91525" w:rsidP="005977CB">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5390C" w14:textId="77777777" w:rsidR="006F795B" w:rsidRDefault="006F795B">
      <w:pPr>
        <w:spacing w:line="240" w:lineRule="auto"/>
      </w:pPr>
      <w:r>
        <w:separator/>
      </w:r>
    </w:p>
    <w:p w14:paraId="113A8191" w14:textId="77777777" w:rsidR="006F795B" w:rsidRDefault="006F795B"/>
  </w:footnote>
  <w:footnote w:type="continuationSeparator" w:id="0">
    <w:p w14:paraId="08DB96F1" w14:textId="77777777" w:rsidR="006F795B" w:rsidRDefault="006F795B">
      <w:pPr>
        <w:spacing w:line="240" w:lineRule="auto"/>
      </w:pPr>
      <w:r>
        <w:continuationSeparator/>
      </w:r>
    </w:p>
    <w:p w14:paraId="6B3A4369" w14:textId="77777777" w:rsidR="006F795B" w:rsidRDefault="006F795B"/>
  </w:footnote>
  <w:footnote w:id="1">
    <w:p w14:paraId="60EC0908" w14:textId="3F2109E4" w:rsidR="00F91525" w:rsidRDefault="00F91525">
      <w:pPr>
        <w:pStyle w:val="FootnoteText"/>
      </w:pPr>
      <w:r>
        <w:rPr>
          <w:rStyle w:val="FootnoteReference"/>
        </w:rPr>
        <w:footnoteRef/>
      </w:r>
      <w:r>
        <w:t xml:space="preserve"> Schedule XX being implemented by DCP 234 ‘Merging the PCDM and the extended PCDM’ in April 2018</w:t>
      </w:r>
    </w:p>
  </w:footnote>
  <w:footnote w:id="2">
    <w:p w14:paraId="7267034A" w14:textId="4BD8B4D1" w:rsidR="00F91525" w:rsidRDefault="00F91525">
      <w:pPr>
        <w:pStyle w:val="FootnoteText"/>
      </w:pPr>
      <w:r>
        <w:rPr>
          <w:rStyle w:val="FootnoteReference"/>
        </w:rPr>
        <w:footnoteRef/>
      </w:r>
      <w:r>
        <w:t xml:space="preserve"> Due to the approval of DCP 234, the PCDM will be contained in a new schedule with effect from the 1</w:t>
      </w:r>
      <w:r w:rsidRPr="006E1566">
        <w:rPr>
          <w:vertAlign w:val="superscript"/>
        </w:rPr>
        <w:t>st</w:t>
      </w:r>
      <w:r>
        <w:t xml:space="preserve"> April 2018, the number of which has yet to be allocated.</w:t>
      </w:r>
    </w:p>
  </w:footnote>
  <w:footnote w:id="3">
    <w:p w14:paraId="7CC25D96" w14:textId="7C333ED6" w:rsidR="00F91525" w:rsidRDefault="00F91525">
      <w:pPr>
        <w:pStyle w:val="FootnoteText"/>
      </w:pPr>
      <w:r>
        <w:rPr>
          <w:rStyle w:val="FootnoteReference"/>
        </w:rPr>
        <w:footnoteRef/>
      </w:r>
      <w:r>
        <w:t xml:space="preserve"> An IDNO Party or DNO Party operating an electricity distribution system outside of its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C8733" w14:textId="77777777" w:rsidR="00F91525" w:rsidRDefault="00F91525">
    <w:pPr>
      <w:pStyle w:val="Header"/>
    </w:pPr>
    <w:r>
      <w:rPr>
        <w:noProof/>
      </w:rPr>
      <w:drawing>
        <wp:anchor distT="0" distB="0" distL="114300" distR="114300" simplePos="0" relativeHeight="251657728" behindDoc="0" locked="0" layoutInCell="1" allowOverlap="1" wp14:anchorId="27C329F6" wp14:editId="052D9C0F">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FDDCA28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9" w15:restartNumberingAfterBreak="0">
    <w:nsid w:val="23925BB6"/>
    <w:multiLevelType w:val="hybridMultilevel"/>
    <w:tmpl w:val="1526A302"/>
    <w:lvl w:ilvl="0" w:tplc="6CE4C682">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0" w15:restartNumberingAfterBreak="0">
    <w:nsid w:val="239B3305"/>
    <w:multiLevelType w:val="hybridMultilevel"/>
    <w:tmpl w:val="2A6CFD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7B4B0F"/>
    <w:multiLevelType w:val="hybridMultilevel"/>
    <w:tmpl w:val="EB104FD0"/>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52CC7"/>
    <w:multiLevelType w:val="hybridMultilevel"/>
    <w:tmpl w:val="BCFA3C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3E6462"/>
    <w:multiLevelType w:val="hybridMultilevel"/>
    <w:tmpl w:val="B508764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60103AC"/>
    <w:multiLevelType w:val="hybridMultilevel"/>
    <w:tmpl w:val="68BA44BE"/>
    <w:lvl w:ilvl="0" w:tplc="EE4ED8B0">
      <w:start w:val="1"/>
      <w:numFmt w:val="lowerLetter"/>
      <w:lvlText w:val="(%1)"/>
      <w:lvlJc w:val="left"/>
      <w:pPr>
        <w:ind w:left="1073" w:hanging="360"/>
      </w:pPr>
    </w:lvl>
    <w:lvl w:ilvl="1" w:tplc="08090019">
      <w:start w:val="1"/>
      <w:numFmt w:val="lowerLetter"/>
      <w:lvlText w:val="%2."/>
      <w:lvlJc w:val="left"/>
      <w:pPr>
        <w:ind w:left="1793" w:hanging="360"/>
      </w:pPr>
    </w:lvl>
    <w:lvl w:ilvl="2" w:tplc="0809001B">
      <w:start w:val="1"/>
      <w:numFmt w:val="lowerRoman"/>
      <w:lvlText w:val="%3."/>
      <w:lvlJc w:val="right"/>
      <w:pPr>
        <w:ind w:left="2513" w:hanging="180"/>
      </w:pPr>
    </w:lvl>
    <w:lvl w:ilvl="3" w:tplc="0809000F">
      <w:start w:val="1"/>
      <w:numFmt w:val="decimal"/>
      <w:lvlText w:val="%4."/>
      <w:lvlJc w:val="left"/>
      <w:pPr>
        <w:ind w:left="3233" w:hanging="360"/>
      </w:pPr>
    </w:lvl>
    <w:lvl w:ilvl="4" w:tplc="08090019">
      <w:start w:val="1"/>
      <w:numFmt w:val="lowerLetter"/>
      <w:lvlText w:val="%5."/>
      <w:lvlJc w:val="left"/>
      <w:pPr>
        <w:ind w:left="3953" w:hanging="360"/>
      </w:pPr>
    </w:lvl>
    <w:lvl w:ilvl="5" w:tplc="0809001B">
      <w:start w:val="1"/>
      <w:numFmt w:val="lowerRoman"/>
      <w:lvlText w:val="%6."/>
      <w:lvlJc w:val="right"/>
      <w:pPr>
        <w:ind w:left="4673" w:hanging="180"/>
      </w:pPr>
    </w:lvl>
    <w:lvl w:ilvl="6" w:tplc="0809000F">
      <w:start w:val="1"/>
      <w:numFmt w:val="decimal"/>
      <w:lvlText w:val="%7."/>
      <w:lvlJc w:val="left"/>
      <w:pPr>
        <w:ind w:left="5393" w:hanging="360"/>
      </w:pPr>
    </w:lvl>
    <w:lvl w:ilvl="7" w:tplc="08090019">
      <w:start w:val="1"/>
      <w:numFmt w:val="lowerLetter"/>
      <w:lvlText w:val="%8."/>
      <w:lvlJc w:val="left"/>
      <w:pPr>
        <w:ind w:left="6113" w:hanging="360"/>
      </w:pPr>
    </w:lvl>
    <w:lvl w:ilvl="8" w:tplc="0809001B">
      <w:start w:val="1"/>
      <w:numFmt w:val="lowerRoman"/>
      <w:lvlText w:val="%9."/>
      <w:lvlJc w:val="right"/>
      <w:pPr>
        <w:ind w:left="6833" w:hanging="180"/>
      </w:pPr>
    </w:lvl>
  </w:abstractNum>
  <w:abstractNum w:abstractNumId="35"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7"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8"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11"/>
  </w:num>
  <w:num w:numId="4">
    <w:abstractNumId w:val="13"/>
  </w:num>
  <w:num w:numId="5">
    <w:abstractNumId w:val="6"/>
  </w:num>
  <w:num w:numId="6">
    <w:abstractNumId w:val="32"/>
  </w:num>
  <w:num w:numId="7">
    <w:abstractNumId w:val="17"/>
  </w:num>
  <w:num w:numId="8">
    <w:abstractNumId w:val="7"/>
  </w:num>
  <w:num w:numId="9">
    <w:abstractNumId w:val="29"/>
  </w:num>
  <w:num w:numId="10">
    <w:abstractNumId w:val="27"/>
  </w:num>
  <w:num w:numId="11">
    <w:abstractNumId w:val="5"/>
  </w:num>
  <w:num w:numId="12">
    <w:abstractNumId w:val="4"/>
  </w:num>
  <w:num w:numId="13">
    <w:abstractNumId w:val="28"/>
  </w:num>
  <w:num w:numId="14">
    <w:abstractNumId w:val="2"/>
  </w:num>
  <w:num w:numId="15">
    <w:abstractNumId w:val="0"/>
  </w:num>
  <w:num w:numId="16">
    <w:abstractNumId w:val="22"/>
  </w:num>
  <w:num w:numId="17">
    <w:abstractNumId w:val="36"/>
  </w:num>
  <w:num w:numId="18">
    <w:abstractNumId w:val="36"/>
  </w:num>
  <w:num w:numId="19">
    <w:abstractNumId w:val="25"/>
  </w:num>
  <w:num w:numId="20">
    <w:abstractNumId w:val="20"/>
  </w:num>
  <w:num w:numId="21">
    <w:abstractNumId w:val="33"/>
  </w:num>
  <w:num w:numId="22">
    <w:abstractNumId w:val="35"/>
  </w:num>
  <w:num w:numId="23">
    <w:abstractNumId w:val="14"/>
  </w:num>
  <w:num w:numId="24">
    <w:abstractNumId w:val="38"/>
  </w:num>
  <w:num w:numId="25">
    <w:abstractNumId w:val="23"/>
  </w:num>
  <w:num w:numId="26">
    <w:abstractNumId w:val="3"/>
  </w:num>
  <w:num w:numId="27">
    <w:abstractNumId w:val="21"/>
  </w:num>
  <w:num w:numId="28">
    <w:abstractNumId w:val="15"/>
  </w:num>
  <w:num w:numId="29">
    <w:abstractNumId w:val="18"/>
  </w:num>
  <w:num w:numId="30">
    <w:abstractNumId w:val="1"/>
  </w:num>
  <w:num w:numId="31">
    <w:abstractNumId w:val="24"/>
  </w:num>
  <w:num w:numId="32">
    <w:abstractNumId w:val="26"/>
  </w:num>
  <w:num w:numId="33">
    <w:abstractNumId w:val="39"/>
  </w:num>
  <w:num w:numId="34">
    <w:abstractNumId w:val="12"/>
  </w:num>
  <w:num w:numId="35">
    <w:abstractNumId w:val="19"/>
  </w:num>
  <w:num w:numId="36">
    <w:abstractNumId w:val="37"/>
  </w:num>
  <w:num w:numId="37">
    <w:abstractNumId w:val="3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6"/>
  </w:num>
  <w:num w:numId="40">
    <w:abstractNumId w:val="9"/>
  </w:num>
  <w:num w:numId="41">
    <w:abstractNumId w:val="30"/>
  </w:num>
  <w:num w:numId="42">
    <w:abstractNumId w:val="10"/>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3462"/>
    <w:rsid w:val="00004426"/>
    <w:rsid w:val="00004A78"/>
    <w:rsid w:val="00005C2A"/>
    <w:rsid w:val="00010E94"/>
    <w:rsid w:val="0001312A"/>
    <w:rsid w:val="000131C0"/>
    <w:rsid w:val="000140D5"/>
    <w:rsid w:val="00014A06"/>
    <w:rsid w:val="00015169"/>
    <w:rsid w:val="00021E27"/>
    <w:rsid w:val="0002309B"/>
    <w:rsid w:val="00026A6A"/>
    <w:rsid w:val="00027B6F"/>
    <w:rsid w:val="000363FA"/>
    <w:rsid w:val="00040622"/>
    <w:rsid w:val="00041A17"/>
    <w:rsid w:val="000427B0"/>
    <w:rsid w:val="00043976"/>
    <w:rsid w:val="00046CCC"/>
    <w:rsid w:val="0005400A"/>
    <w:rsid w:val="000546C7"/>
    <w:rsid w:val="00055793"/>
    <w:rsid w:val="0005617C"/>
    <w:rsid w:val="000561DC"/>
    <w:rsid w:val="00057C9D"/>
    <w:rsid w:val="00060F89"/>
    <w:rsid w:val="00062E0D"/>
    <w:rsid w:val="00064C18"/>
    <w:rsid w:val="00067E74"/>
    <w:rsid w:val="00071B36"/>
    <w:rsid w:val="000744F0"/>
    <w:rsid w:val="0007537E"/>
    <w:rsid w:val="00082674"/>
    <w:rsid w:val="00082F1D"/>
    <w:rsid w:val="00096C4E"/>
    <w:rsid w:val="000A0930"/>
    <w:rsid w:val="000A29C5"/>
    <w:rsid w:val="000A3240"/>
    <w:rsid w:val="000A36A8"/>
    <w:rsid w:val="000A4B7C"/>
    <w:rsid w:val="000B007D"/>
    <w:rsid w:val="000B2E3D"/>
    <w:rsid w:val="000B5D6C"/>
    <w:rsid w:val="000B6BBE"/>
    <w:rsid w:val="000C0555"/>
    <w:rsid w:val="000C24FA"/>
    <w:rsid w:val="000C37E0"/>
    <w:rsid w:val="000D1ECA"/>
    <w:rsid w:val="000D3D47"/>
    <w:rsid w:val="000D5720"/>
    <w:rsid w:val="000D66EC"/>
    <w:rsid w:val="000E0100"/>
    <w:rsid w:val="000E034A"/>
    <w:rsid w:val="000E19B4"/>
    <w:rsid w:val="000E2E48"/>
    <w:rsid w:val="000E3F5B"/>
    <w:rsid w:val="000E76BF"/>
    <w:rsid w:val="000F2C8E"/>
    <w:rsid w:val="0010060E"/>
    <w:rsid w:val="00101817"/>
    <w:rsid w:val="001052FF"/>
    <w:rsid w:val="001060C1"/>
    <w:rsid w:val="00111F27"/>
    <w:rsid w:val="00112F45"/>
    <w:rsid w:val="00113A6E"/>
    <w:rsid w:val="001156D2"/>
    <w:rsid w:val="00116E9B"/>
    <w:rsid w:val="001216C5"/>
    <w:rsid w:val="0012496E"/>
    <w:rsid w:val="00124E8E"/>
    <w:rsid w:val="0012717A"/>
    <w:rsid w:val="00133BE8"/>
    <w:rsid w:val="001378FB"/>
    <w:rsid w:val="0014021A"/>
    <w:rsid w:val="0014046B"/>
    <w:rsid w:val="00143041"/>
    <w:rsid w:val="0014327C"/>
    <w:rsid w:val="001445A0"/>
    <w:rsid w:val="001451F4"/>
    <w:rsid w:val="00146470"/>
    <w:rsid w:val="00150E95"/>
    <w:rsid w:val="00151CCE"/>
    <w:rsid w:val="001532A3"/>
    <w:rsid w:val="00153A6A"/>
    <w:rsid w:val="00153B91"/>
    <w:rsid w:val="00160B8D"/>
    <w:rsid w:val="0016191F"/>
    <w:rsid w:val="00164E30"/>
    <w:rsid w:val="001657CF"/>
    <w:rsid w:val="00166566"/>
    <w:rsid w:val="00172A66"/>
    <w:rsid w:val="00174D21"/>
    <w:rsid w:val="001762D1"/>
    <w:rsid w:val="00182A0C"/>
    <w:rsid w:val="001834A2"/>
    <w:rsid w:val="0018581B"/>
    <w:rsid w:val="0018792D"/>
    <w:rsid w:val="00187969"/>
    <w:rsid w:val="00187E2F"/>
    <w:rsid w:val="001937A0"/>
    <w:rsid w:val="00193F47"/>
    <w:rsid w:val="00197A37"/>
    <w:rsid w:val="001A1E20"/>
    <w:rsid w:val="001A5839"/>
    <w:rsid w:val="001A6F74"/>
    <w:rsid w:val="001B2D7A"/>
    <w:rsid w:val="001C01D5"/>
    <w:rsid w:val="001C0AAE"/>
    <w:rsid w:val="001C0C6E"/>
    <w:rsid w:val="001C207A"/>
    <w:rsid w:val="001C460B"/>
    <w:rsid w:val="001C665E"/>
    <w:rsid w:val="001C6A08"/>
    <w:rsid w:val="001D0B92"/>
    <w:rsid w:val="001D0F31"/>
    <w:rsid w:val="001D12EB"/>
    <w:rsid w:val="001D3EFD"/>
    <w:rsid w:val="001D42E7"/>
    <w:rsid w:val="001D7EC5"/>
    <w:rsid w:val="001E1FFB"/>
    <w:rsid w:val="001E2563"/>
    <w:rsid w:val="001E32D7"/>
    <w:rsid w:val="001E3B06"/>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11BF"/>
    <w:rsid w:val="002126D4"/>
    <w:rsid w:val="002129EC"/>
    <w:rsid w:val="00212BF5"/>
    <w:rsid w:val="0021418F"/>
    <w:rsid w:val="002148B6"/>
    <w:rsid w:val="00214FF5"/>
    <w:rsid w:val="00215877"/>
    <w:rsid w:val="00215C1A"/>
    <w:rsid w:val="002161A4"/>
    <w:rsid w:val="00222723"/>
    <w:rsid w:val="002249A0"/>
    <w:rsid w:val="00225E0E"/>
    <w:rsid w:val="00225F2B"/>
    <w:rsid w:val="002272EF"/>
    <w:rsid w:val="00231812"/>
    <w:rsid w:val="0023362D"/>
    <w:rsid w:val="00233E58"/>
    <w:rsid w:val="00235524"/>
    <w:rsid w:val="00236CC6"/>
    <w:rsid w:val="00236DCB"/>
    <w:rsid w:val="0024000A"/>
    <w:rsid w:val="00240674"/>
    <w:rsid w:val="002426A7"/>
    <w:rsid w:val="00244589"/>
    <w:rsid w:val="002518AB"/>
    <w:rsid w:val="00251F86"/>
    <w:rsid w:val="00256075"/>
    <w:rsid w:val="00256566"/>
    <w:rsid w:val="00260BAE"/>
    <w:rsid w:val="00260C2C"/>
    <w:rsid w:val="002612FD"/>
    <w:rsid w:val="00263600"/>
    <w:rsid w:val="002660EC"/>
    <w:rsid w:val="00266BC0"/>
    <w:rsid w:val="00270472"/>
    <w:rsid w:val="00272979"/>
    <w:rsid w:val="002733C1"/>
    <w:rsid w:val="00273DE7"/>
    <w:rsid w:val="002744D3"/>
    <w:rsid w:val="00275260"/>
    <w:rsid w:val="002758A6"/>
    <w:rsid w:val="00276D11"/>
    <w:rsid w:val="00281CF1"/>
    <w:rsid w:val="00281F45"/>
    <w:rsid w:val="00286CBD"/>
    <w:rsid w:val="00290F86"/>
    <w:rsid w:val="00291083"/>
    <w:rsid w:val="00291586"/>
    <w:rsid w:val="00295499"/>
    <w:rsid w:val="002A0D66"/>
    <w:rsid w:val="002A369F"/>
    <w:rsid w:val="002B1D49"/>
    <w:rsid w:val="002B385B"/>
    <w:rsid w:val="002B4393"/>
    <w:rsid w:val="002B6671"/>
    <w:rsid w:val="002B68DB"/>
    <w:rsid w:val="002C07B9"/>
    <w:rsid w:val="002C0F95"/>
    <w:rsid w:val="002C1553"/>
    <w:rsid w:val="002C7630"/>
    <w:rsid w:val="002C7A84"/>
    <w:rsid w:val="002D25F9"/>
    <w:rsid w:val="002D5DFC"/>
    <w:rsid w:val="002D6272"/>
    <w:rsid w:val="002D65AF"/>
    <w:rsid w:val="002D7C43"/>
    <w:rsid w:val="002E0E9A"/>
    <w:rsid w:val="002E224D"/>
    <w:rsid w:val="002E244B"/>
    <w:rsid w:val="002E2ECA"/>
    <w:rsid w:val="002F0224"/>
    <w:rsid w:val="002F0D77"/>
    <w:rsid w:val="002F0E78"/>
    <w:rsid w:val="002F13B8"/>
    <w:rsid w:val="002F357D"/>
    <w:rsid w:val="002F40F9"/>
    <w:rsid w:val="002F6A92"/>
    <w:rsid w:val="002F6CD0"/>
    <w:rsid w:val="00301DAF"/>
    <w:rsid w:val="0030272D"/>
    <w:rsid w:val="00302F67"/>
    <w:rsid w:val="0030347F"/>
    <w:rsid w:val="00303614"/>
    <w:rsid w:val="00305819"/>
    <w:rsid w:val="00305AC5"/>
    <w:rsid w:val="00306BF5"/>
    <w:rsid w:val="00310346"/>
    <w:rsid w:val="003133F9"/>
    <w:rsid w:val="00313E9E"/>
    <w:rsid w:val="00313FE4"/>
    <w:rsid w:val="00316676"/>
    <w:rsid w:val="00316758"/>
    <w:rsid w:val="00320457"/>
    <w:rsid w:val="003221E9"/>
    <w:rsid w:val="003233E7"/>
    <w:rsid w:val="0033097B"/>
    <w:rsid w:val="003314E2"/>
    <w:rsid w:val="00331AA6"/>
    <w:rsid w:val="003328B8"/>
    <w:rsid w:val="00332FE3"/>
    <w:rsid w:val="00335479"/>
    <w:rsid w:val="00336821"/>
    <w:rsid w:val="00341CAD"/>
    <w:rsid w:val="00344177"/>
    <w:rsid w:val="00344FDC"/>
    <w:rsid w:val="00345171"/>
    <w:rsid w:val="003456CF"/>
    <w:rsid w:val="00345728"/>
    <w:rsid w:val="00351769"/>
    <w:rsid w:val="00351960"/>
    <w:rsid w:val="00351B9D"/>
    <w:rsid w:val="00352A27"/>
    <w:rsid w:val="0035487C"/>
    <w:rsid w:val="003557B1"/>
    <w:rsid w:val="00357570"/>
    <w:rsid w:val="00360C37"/>
    <w:rsid w:val="00362030"/>
    <w:rsid w:val="00363FE9"/>
    <w:rsid w:val="00365246"/>
    <w:rsid w:val="00367F60"/>
    <w:rsid w:val="0037034E"/>
    <w:rsid w:val="00370895"/>
    <w:rsid w:val="003711F3"/>
    <w:rsid w:val="00372C0A"/>
    <w:rsid w:val="00374D22"/>
    <w:rsid w:val="0037500E"/>
    <w:rsid w:val="003775D5"/>
    <w:rsid w:val="00377752"/>
    <w:rsid w:val="00380C64"/>
    <w:rsid w:val="00381EB7"/>
    <w:rsid w:val="00382814"/>
    <w:rsid w:val="00386096"/>
    <w:rsid w:val="00390D19"/>
    <w:rsid w:val="00390E3C"/>
    <w:rsid w:val="003920ED"/>
    <w:rsid w:val="00392156"/>
    <w:rsid w:val="00393BC8"/>
    <w:rsid w:val="003971AB"/>
    <w:rsid w:val="003A016A"/>
    <w:rsid w:val="003A0852"/>
    <w:rsid w:val="003A294F"/>
    <w:rsid w:val="003A2970"/>
    <w:rsid w:val="003A2AA8"/>
    <w:rsid w:val="003A2BCC"/>
    <w:rsid w:val="003A2BFE"/>
    <w:rsid w:val="003A3EEB"/>
    <w:rsid w:val="003A40AA"/>
    <w:rsid w:val="003A4FC7"/>
    <w:rsid w:val="003A6CCA"/>
    <w:rsid w:val="003B0780"/>
    <w:rsid w:val="003B0B34"/>
    <w:rsid w:val="003B1A71"/>
    <w:rsid w:val="003B4359"/>
    <w:rsid w:val="003B44D0"/>
    <w:rsid w:val="003B5816"/>
    <w:rsid w:val="003B615E"/>
    <w:rsid w:val="003B65A6"/>
    <w:rsid w:val="003C1BBC"/>
    <w:rsid w:val="003C1E4D"/>
    <w:rsid w:val="003C22DF"/>
    <w:rsid w:val="003C3301"/>
    <w:rsid w:val="003C3B5C"/>
    <w:rsid w:val="003C457B"/>
    <w:rsid w:val="003C6AB2"/>
    <w:rsid w:val="003D0281"/>
    <w:rsid w:val="003D416F"/>
    <w:rsid w:val="003D41D8"/>
    <w:rsid w:val="003D5877"/>
    <w:rsid w:val="003D6504"/>
    <w:rsid w:val="003E0757"/>
    <w:rsid w:val="003E0B53"/>
    <w:rsid w:val="003E16D8"/>
    <w:rsid w:val="003E1B16"/>
    <w:rsid w:val="003E63E9"/>
    <w:rsid w:val="003E6920"/>
    <w:rsid w:val="003F030F"/>
    <w:rsid w:val="003F0B70"/>
    <w:rsid w:val="003F1C1E"/>
    <w:rsid w:val="003F2A86"/>
    <w:rsid w:val="003F4DE2"/>
    <w:rsid w:val="003F7D71"/>
    <w:rsid w:val="004028D5"/>
    <w:rsid w:val="004045E4"/>
    <w:rsid w:val="00407BD8"/>
    <w:rsid w:val="004130FC"/>
    <w:rsid w:val="00413790"/>
    <w:rsid w:val="00413CFB"/>
    <w:rsid w:val="00416FC8"/>
    <w:rsid w:val="00420FB8"/>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1173"/>
    <w:rsid w:val="0044228E"/>
    <w:rsid w:val="004428DE"/>
    <w:rsid w:val="00445D85"/>
    <w:rsid w:val="00446636"/>
    <w:rsid w:val="00447064"/>
    <w:rsid w:val="00450385"/>
    <w:rsid w:val="004504EA"/>
    <w:rsid w:val="00455E09"/>
    <w:rsid w:val="004570AC"/>
    <w:rsid w:val="0045753B"/>
    <w:rsid w:val="004579CF"/>
    <w:rsid w:val="0046001A"/>
    <w:rsid w:val="00461C2F"/>
    <w:rsid w:val="00463EF6"/>
    <w:rsid w:val="0046735A"/>
    <w:rsid w:val="00467CA8"/>
    <w:rsid w:val="00473B9D"/>
    <w:rsid w:val="004845B4"/>
    <w:rsid w:val="0048657A"/>
    <w:rsid w:val="004867CC"/>
    <w:rsid w:val="004903F8"/>
    <w:rsid w:val="00490CAA"/>
    <w:rsid w:val="004958FC"/>
    <w:rsid w:val="004A105A"/>
    <w:rsid w:val="004A22E8"/>
    <w:rsid w:val="004A3116"/>
    <w:rsid w:val="004A3386"/>
    <w:rsid w:val="004A4900"/>
    <w:rsid w:val="004A5970"/>
    <w:rsid w:val="004A631D"/>
    <w:rsid w:val="004B0EA7"/>
    <w:rsid w:val="004B1725"/>
    <w:rsid w:val="004B27FB"/>
    <w:rsid w:val="004B292D"/>
    <w:rsid w:val="004B376C"/>
    <w:rsid w:val="004B53C8"/>
    <w:rsid w:val="004B6091"/>
    <w:rsid w:val="004B7ABF"/>
    <w:rsid w:val="004C2609"/>
    <w:rsid w:val="004C2C09"/>
    <w:rsid w:val="004C4371"/>
    <w:rsid w:val="004C49C3"/>
    <w:rsid w:val="004C6117"/>
    <w:rsid w:val="004C66D0"/>
    <w:rsid w:val="004C6C14"/>
    <w:rsid w:val="004C7FAB"/>
    <w:rsid w:val="004D09F0"/>
    <w:rsid w:val="004D0D74"/>
    <w:rsid w:val="004D149E"/>
    <w:rsid w:val="004D1CB3"/>
    <w:rsid w:val="004D20F3"/>
    <w:rsid w:val="004D38F0"/>
    <w:rsid w:val="004D430C"/>
    <w:rsid w:val="004D5378"/>
    <w:rsid w:val="004D638C"/>
    <w:rsid w:val="004E2468"/>
    <w:rsid w:val="004E5B3F"/>
    <w:rsid w:val="004E5E00"/>
    <w:rsid w:val="004F4A12"/>
    <w:rsid w:val="00500707"/>
    <w:rsid w:val="005023B5"/>
    <w:rsid w:val="00504E6C"/>
    <w:rsid w:val="00505792"/>
    <w:rsid w:val="005079E0"/>
    <w:rsid w:val="005101F4"/>
    <w:rsid w:val="00512137"/>
    <w:rsid w:val="00513062"/>
    <w:rsid w:val="00513631"/>
    <w:rsid w:val="0051566C"/>
    <w:rsid w:val="005177DA"/>
    <w:rsid w:val="00520724"/>
    <w:rsid w:val="005251AD"/>
    <w:rsid w:val="00526695"/>
    <w:rsid w:val="00526D50"/>
    <w:rsid w:val="005310CC"/>
    <w:rsid w:val="00531B35"/>
    <w:rsid w:val="005352A6"/>
    <w:rsid w:val="005357A0"/>
    <w:rsid w:val="005373FB"/>
    <w:rsid w:val="00540357"/>
    <w:rsid w:val="00540493"/>
    <w:rsid w:val="00545D78"/>
    <w:rsid w:val="005469C0"/>
    <w:rsid w:val="00546EF7"/>
    <w:rsid w:val="005475A3"/>
    <w:rsid w:val="005479D6"/>
    <w:rsid w:val="0055068A"/>
    <w:rsid w:val="0055672D"/>
    <w:rsid w:val="00560EF2"/>
    <w:rsid w:val="00561CEC"/>
    <w:rsid w:val="00561CED"/>
    <w:rsid w:val="005626E5"/>
    <w:rsid w:val="005649CA"/>
    <w:rsid w:val="00564AD1"/>
    <w:rsid w:val="00566807"/>
    <w:rsid w:val="005703B3"/>
    <w:rsid w:val="005720CF"/>
    <w:rsid w:val="00575D4F"/>
    <w:rsid w:val="00580576"/>
    <w:rsid w:val="00582E0D"/>
    <w:rsid w:val="00583165"/>
    <w:rsid w:val="00584C7B"/>
    <w:rsid w:val="00586BD1"/>
    <w:rsid w:val="00587E1E"/>
    <w:rsid w:val="005908D1"/>
    <w:rsid w:val="005930F8"/>
    <w:rsid w:val="005977CB"/>
    <w:rsid w:val="00597D29"/>
    <w:rsid w:val="005A0143"/>
    <w:rsid w:val="005A1E00"/>
    <w:rsid w:val="005A2A2B"/>
    <w:rsid w:val="005A4046"/>
    <w:rsid w:val="005A4F5D"/>
    <w:rsid w:val="005A6174"/>
    <w:rsid w:val="005A7145"/>
    <w:rsid w:val="005B0B30"/>
    <w:rsid w:val="005B105E"/>
    <w:rsid w:val="005B31AC"/>
    <w:rsid w:val="005B33F9"/>
    <w:rsid w:val="005B378E"/>
    <w:rsid w:val="005C0AA5"/>
    <w:rsid w:val="005C1952"/>
    <w:rsid w:val="005C1F41"/>
    <w:rsid w:val="005C20E9"/>
    <w:rsid w:val="005C2175"/>
    <w:rsid w:val="005C22EF"/>
    <w:rsid w:val="005C2EC5"/>
    <w:rsid w:val="005D12F7"/>
    <w:rsid w:val="005D1C6B"/>
    <w:rsid w:val="005D4418"/>
    <w:rsid w:val="005D4631"/>
    <w:rsid w:val="005D4958"/>
    <w:rsid w:val="005D4A2B"/>
    <w:rsid w:val="005D5753"/>
    <w:rsid w:val="005D72CA"/>
    <w:rsid w:val="005E103C"/>
    <w:rsid w:val="005E3915"/>
    <w:rsid w:val="005E661A"/>
    <w:rsid w:val="005F3932"/>
    <w:rsid w:val="005F4AE3"/>
    <w:rsid w:val="005F6CFF"/>
    <w:rsid w:val="005F75C4"/>
    <w:rsid w:val="00600B78"/>
    <w:rsid w:val="00602C94"/>
    <w:rsid w:val="0060457E"/>
    <w:rsid w:val="00610152"/>
    <w:rsid w:val="00610C8D"/>
    <w:rsid w:val="00613074"/>
    <w:rsid w:val="006159D7"/>
    <w:rsid w:val="00616E62"/>
    <w:rsid w:val="0062062A"/>
    <w:rsid w:val="00620A04"/>
    <w:rsid w:val="00622259"/>
    <w:rsid w:val="00622DC8"/>
    <w:rsid w:val="00623022"/>
    <w:rsid w:val="006248E3"/>
    <w:rsid w:val="00624FA6"/>
    <w:rsid w:val="00627983"/>
    <w:rsid w:val="00630F15"/>
    <w:rsid w:val="0063134F"/>
    <w:rsid w:val="00631710"/>
    <w:rsid w:val="0063186C"/>
    <w:rsid w:val="00631EBB"/>
    <w:rsid w:val="00632719"/>
    <w:rsid w:val="00633E15"/>
    <w:rsid w:val="00635FC4"/>
    <w:rsid w:val="006361BA"/>
    <w:rsid w:val="0063761E"/>
    <w:rsid w:val="00637680"/>
    <w:rsid w:val="006377B6"/>
    <w:rsid w:val="00637CD6"/>
    <w:rsid w:val="00642E23"/>
    <w:rsid w:val="00642EBA"/>
    <w:rsid w:val="006440DE"/>
    <w:rsid w:val="006446DD"/>
    <w:rsid w:val="00647335"/>
    <w:rsid w:val="00650186"/>
    <w:rsid w:val="006509B3"/>
    <w:rsid w:val="00651C5F"/>
    <w:rsid w:val="00652D78"/>
    <w:rsid w:val="006533C3"/>
    <w:rsid w:val="006551B8"/>
    <w:rsid w:val="00661EB9"/>
    <w:rsid w:val="00665358"/>
    <w:rsid w:val="006653B5"/>
    <w:rsid w:val="0067097E"/>
    <w:rsid w:val="00670EE8"/>
    <w:rsid w:val="0067184E"/>
    <w:rsid w:val="00671CD7"/>
    <w:rsid w:val="00673F4F"/>
    <w:rsid w:val="0067455A"/>
    <w:rsid w:val="00674659"/>
    <w:rsid w:val="006853CF"/>
    <w:rsid w:val="00685740"/>
    <w:rsid w:val="00686AE9"/>
    <w:rsid w:val="006876B6"/>
    <w:rsid w:val="00690389"/>
    <w:rsid w:val="00691A06"/>
    <w:rsid w:val="00694865"/>
    <w:rsid w:val="00697683"/>
    <w:rsid w:val="006A0767"/>
    <w:rsid w:val="006A109D"/>
    <w:rsid w:val="006A143D"/>
    <w:rsid w:val="006A395F"/>
    <w:rsid w:val="006A5279"/>
    <w:rsid w:val="006A5DD2"/>
    <w:rsid w:val="006B68D8"/>
    <w:rsid w:val="006B6D83"/>
    <w:rsid w:val="006C1856"/>
    <w:rsid w:val="006C1C50"/>
    <w:rsid w:val="006C5683"/>
    <w:rsid w:val="006C798B"/>
    <w:rsid w:val="006D0CC1"/>
    <w:rsid w:val="006D0E98"/>
    <w:rsid w:val="006D0FB6"/>
    <w:rsid w:val="006D1F16"/>
    <w:rsid w:val="006D5084"/>
    <w:rsid w:val="006D6DB1"/>
    <w:rsid w:val="006D73EA"/>
    <w:rsid w:val="006D75CD"/>
    <w:rsid w:val="006E1566"/>
    <w:rsid w:val="006E7327"/>
    <w:rsid w:val="006E7560"/>
    <w:rsid w:val="006E7A7E"/>
    <w:rsid w:val="006F19E3"/>
    <w:rsid w:val="006F243E"/>
    <w:rsid w:val="006F3C8E"/>
    <w:rsid w:val="006F4689"/>
    <w:rsid w:val="006F4798"/>
    <w:rsid w:val="006F795B"/>
    <w:rsid w:val="007015FF"/>
    <w:rsid w:val="00701A3B"/>
    <w:rsid w:val="00701D85"/>
    <w:rsid w:val="00701E18"/>
    <w:rsid w:val="0070415F"/>
    <w:rsid w:val="00706916"/>
    <w:rsid w:val="00710290"/>
    <w:rsid w:val="00710C7E"/>
    <w:rsid w:val="00710E92"/>
    <w:rsid w:val="00711658"/>
    <w:rsid w:val="0071547D"/>
    <w:rsid w:val="00722FCE"/>
    <w:rsid w:val="0072385C"/>
    <w:rsid w:val="00726171"/>
    <w:rsid w:val="00731B99"/>
    <w:rsid w:val="00733D46"/>
    <w:rsid w:val="00733F4B"/>
    <w:rsid w:val="00734630"/>
    <w:rsid w:val="00736081"/>
    <w:rsid w:val="007374B9"/>
    <w:rsid w:val="00737853"/>
    <w:rsid w:val="00740A8F"/>
    <w:rsid w:val="00742876"/>
    <w:rsid w:val="0074415E"/>
    <w:rsid w:val="00745C95"/>
    <w:rsid w:val="00747A24"/>
    <w:rsid w:val="007554E3"/>
    <w:rsid w:val="007607E8"/>
    <w:rsid w:val="007608FF"/>
    <w:rsid w:val="00760BD6"/>
    <w:rsid w:val="007626D9"/>
    <w:rsid w:val="007666BA"/>
    <w:rsid w:val="00766874"/>
    <w:rsid w:val="00771ACE"/>
    <w:rsid w:val="00772942"/>
    <w:rsid w:val="00774F15"/>
    <w:rsid w:val="00774FB4"/>
    <w:rsid w:val="00775EF4"/>
    <w:rsid w:val="00780130"/>
    <w:rsid w:val="00784486"/>
    <w:rsid w:val="00787EDB"/>
    <w:rsid w:val="0079113B"/>
    <w:rsid w:val="007917E9"/>
    <w:rsid w:val="00794845"/>
    <w:rsid w:val="00797AA8"/>
    <w:rsid w:val="007A0FB2"/>
    <w:rsid w:val="007A1530"/>
    <w:rsid w:val="007A1926"/>
    <w:rsid w:val="007A20B6"/>
    <w:rsid w:val="007A4F58"/>
    <w:rsid w:val="007A6725"/>
    <w:rsid w:val="007A7ADD"/>
    <w:rsid w:val="007B002D"/>
    <w:rsid w:val="007B2962"/>
    <w:rsid w:val="007B42B2"/>
    <w:rsid w:val="007B4476"/>
    <w:rsid w:val="007C00DA"/>
    <w:rsid w:val="007C0E16"/>
    <w:rsid w:val="007C2555"/>
    <w:rsid w:val="007C39B0"/>
    <w:rsid w:val="007C4E55"/>
    <w:rsid w:val="007C6041"/>
    <w:rsid w:val="007C7FB5"/>
    <w:rsid w:val="007D0577"/>
    <w:rsid w:val="007D49BC"/>
    <w:rsid w:val="007D7C47"/>
    <w:rsid w:val="007E1A43"/>
    <w:rsid w:val="007E22A9"/>
    <w:rsid w:val="007E3C0E"/>
    <w:rsid w:val="007E572E"/>
    <w:rsid w:val="007E718E"/>
    <w:rsid w:val="00804E16"/>
    <w:rsid w:val="008115C5"/>
    <w:rsid w:val="00812C70"/>
    <w:rsid w:val="0081327E"/>
    <w:rsid w:val="0081418A"/>
    <w:rsid w:val="008149B0"/>
    <w:rsid w:val="008177D7"/>
    <w:rsid w:val="008204FF"/>
    <w:rsid w:val="00822D9F"/>
    <w:rsid w:val="00826203"/>
    <w:rsid w:val="008272A5"/>
    <w:rsid w:val="008277A6"/>
    <w:rsid w:val="00832598"/>
    <w:rsid w:val="00833183"/>
    <w:rsid w:val="00833221"/>
    <w:rsid w:val="0084076A"/>
    <w:rsid w:val="008423A3"/>
    <w:rsid w:val="00845557"/>
    <w:rsid w:val="00846D9D"/>
    <w:rsid w:val="00850F86"/>
    <w:rsid w:val="00851017"/>
    <w:rsid w:val="00851229"/>
    <w:rsid w:val="008518B3"/>
    <w:rsid w:val="0085211A"/>
    <w:rsid w:val="00853B23"/>
    <w:rsid w:val="00856C0B"/>
    <w:rsid w:val="00857BF6"/>
    <w:rsid w:val="0086142A"/>
    <w:rsid w:val="00861D88"/>
    <w:rsid w:val="00862D16"/>
    <w:rsid w:val="00864823"/>
    <w:rsid w:val="0087362B"/>
    <w:rsid w:val="00876FA4"/>
    <w:rsid w:val="00880168"/>
    <w:rsid w:val="00882D3C"/>
    <w:rsid w:val="008847ED"/>
    <w:rsid w:val="00884F54"/>
    <w:rsid w:val="00887D24"/>
    <w:rsid w:val="00892D3B"/>
    <w:rsid w:val="00895154"/>
    <w:rsid w:val="00897EDC"/>
    <w:rsid w:val="008A17EB"/>
    <w:rsid w:val="008A2F12"/>
    <w:rsid w:val="008A5134"/>
    <w:rsid w:val="008A5F56"/>
    <w:rsid w:val="008B303B"/>
    <w:rsid w:val="008B354F"/>
    <w:rsid w:val="008B6CCD"/>
    <w:rsid w:val="008C1351"/>
    <w:rsid w:val="008C4954"/>
    <w:rsid w:val="008C5774"/>
    <w:rsid w:val="008C579E"/>
    <w:rsid w:val="008D0FCF"/>
    <w:rsid w:val="008D37F6"/>
    <w:rsid w:val="008D4F1C"/>
    <w:rsid w:val="008D5B54"/>
    <w:rsid w:val="008D6266"/>
    <w:rsid w:val="008D7983"/>
    <w:rsid w:val="008D7BF0"/>
    <w:rsid w:val="008F09A9"/>
    <w:rsid w:val="00900963"/>
    <w:rsid w:val="00904440"/>
    <w:rsid w:val="0090492C"/>
    <w:rsid w:val="00911546"/>
    <w:rsid w:val="009121FF"/>
    <w:rsid w:val="009129DC"/>
    <w:rsid w:val="00913148"/>
    <w:rsid w:val="009208D8"/>
    <w:rsid w:val="00922CD2"/>
    <w:rsid w:val="00922DBD"/>
    <w:rsid w:val="0092387F"/>
    <w:rsid w:val="00925F3A"/>
    <w:rsid w:val="00926505"/>
    <w:rsid w:val="009265C0"/>
    <w:rsid w:val="00926C69"/>
    <w:rsid w:val="00926F0E"/>
    <w:rsid w:val="00935573"/>
    <w:rsid w:val="009356A2"/>
    <w:rsid w:val="0094118A"/>
    <w:rsid w:val="00944047"/>
    <w:rsid w:val="009469BE"/>
    <w:rsid w:val="0094797C"/>
    <w:rsid w:val="00947DC2"/>
    <w:rsid w:val="00951FDE"/>
    <w:rsid w:val="00954773"/>
    <w:rsid w:val="00954FC6"/>
    <w:rsid w:val="00957FBC"/>
    <w:rsid w:val="00960420"/>
    <w:rsid w:val="00960714"/>
    <w:rsid w:val="0096255F"/>
    <w:rsid w:val="0096574A"/>
    <w:rsid w:val="00967C6A"/>
    <w:rsid w:val="009704FB"/>
    <w:rsid w:val="009710EF"/>
    <w:rsid w:val="0097527E"/>
    <w:rsid w:val="00977CD0"/>
    <w:rsid w:val="009832ED"/>
    <w:rsid w:val="00985B9D"/>
    <w:rsid w:val="00985FC1"/>
    <w:rsid w:val="00986F73"/>
    <w:rsid w:val="00991785"/>
    <w:rsid w:val="009926A0"/>
    <w:rsid w:val="00992F3F"/>
    <w:rsid w:val="00993E9F"/>
    <w:rsid w:val="00994B34"/>
    <w:rsid w:val="00994EF3"/>
    <w:rsid w:val="009958EC"/>
    <w:rsid w:val="00995FFC"/>
    <w:rsid w:val="00997577"/>
    <w:rsid w:val="00997E96"/>
    <w:rsid w:val="009A03A4"/>
    <w:rsid w:val="009A1FC2"/>
    <w:rsid w:val="009A200B"/>
    <w:rsid w:val="009B035B"/>
    <w:rsid w:val="009B1183"/>
    <w:rsid w:val="009B1B76"/>
    <w:rsid w:val="009B280E"/>
    <w:rsid w:val="009B356B"/>
    <w:rsid w:val="009B449F"/>
    <w:rsid w:val="009C0C5C"/>
    <w:rsid w:val="009C1C52"/>
    <w:rsid w:val="009C2EA4"/>
    <w:rsid w:val="009C3D87"/>
    <w:rsid w:val="009C7CDB"/>
    <w:rsid w:val="009D1A9A"/>
    <w:rsid w:val="009D28E8"/>
    <w:rsid w:val="009D7913"/>
    <w:rsid w:val="009D7B56"/>
    <w:rsid w:val="009E1A09"/>
    <w:rsid w:val="009E2351"/>
    <w:rsid w:val="009E318C"/>
    <w:rsid w:val="009E4D2D"/>
    <w:rsid w:val="009E63A4"/>
    <w:rsid w:val="009E7589"/>
    <w:rsid w:val="009F1896"/>
    <w:rsid w:val="009F18DD"/>
    <w:rsid w:val="009F3981"/>
    <w:rsid w:val="009F4D87"/>
    <w:rsid w:val="009F70E9"/>
    <w:rsid w:val="00A00B4A"/>
    <w:rsid w:val="00A03894"/>
    <w:rsid w:val="00A0777B"/>
    <w:rsid w:val="00A10251"/>
    <w:rsid w:val="00A115C6"/>
    <w:rsid w:val="00A13230"/>
    <w:rsid w:val="00A13762"/>
    <w:rsid w:val="00A1395B"/>
    <w:rsid w:val="00A16360"/>
    <w:rsid w:val="00A23C16"/>
    <w:rsid w:val="00A25D84"/>
    <w:rsid w:val="00A26182"/>
    <w:rsid w:val="00A31D12"/>
    <w:rsid w:val="00A400FF"/>
    <w:rsid w:val="00A4337D"/>
    <w:rsid w:val="00A45862"/>
    <w:rsid w:val="00A45D4A"/>
    <w:rsid w:val="00A460C2"/>
    <w:rsid w:val="00A50878"/>
    <w:rsid w:val="00A51787"/>
    <w:rsid w:val="00A54CE1"/>
    <w:rsid w:val="00A55182"/>
    <w:rsid w:val="00A56ED0"/>
    <w:rsid w:val="00A579D3"/>
    <w:rsid w:val="00A64A9C"/>
    <w:rsid w:val="00A66894"/>
    <w:rsid w:val="00A71718"/>
    <w:rsid w:val="00A76E89"/>
    <w:rsid w:val="00A809BC"/>
    <w:rsid w:val="00A80EE0"/>
    <w:rsid w:val="00A81649"/>
    <w:rsid w:val="00A81AA5"/>
    <w:rsid w:val="00A83B53"/>
    <w:rsid w:val="00A84AF7"/>
    <w:rsid w:val="00A85694"/>
    <w:rsid w:val="00A860EB"/>
    <w:rsid w:val="00A92D47"/>
    <w:rsid w:val="00A93BF0"/>
    <w:rsid w:val="00A9474F"/>
    <w:rsid w:val="00A94C94"/>
    <w:rsid w:val="00A96295"/>
    <w:rsid w:val="00A96555"/>
    <w:rsid w:val="00A967DA"/>
    <w:rsid w:val="00A968AB"/>
    <w:rsid w:val="00A97DD5"/>
    <w:rsid w:val="00AA004B"/>
    <w:rsid w:val="00AA35F7"/>
    <w:rsid w:val="00AA463E"/>
    <w:rsid w:val="00AA69EF"/>
    <w:rsid w:val="00AB2DA2"/>
    <w:rsid w:val="00AB3915"/>
    <w:rsid w:val="00AC0309"/>
    <w:rsid w:val="00AC0716"/>
    <w:rsid w:val="00AC5BEF"/>
    <w:rsid w:val="00AC68BE"/>
    <w:rsid w:val="00AD0028"/>
    <w:rsid w:val="00AD0DC0"/>
    <w:rsid w:val="00AD111B"/>
    <w:rsid w:val="00AD59E1"/>
    <w:rsid w:val="00AD606D"/>
    <w:rsid w:val="00AE4FA9"/>
    <w:rsid w:val="00AE52CF"/>
    <w:rsid w:val="00AE5F4A"/>
    <w:rsid w:val="00AE7C82"/>
    <w:rsid w:val="00AF30A5"/>
    <w:rsid w:val="00AF3186"/>
    <w:rsid w:val="00AF3FDD"/>
    <w:rsid w:val="00AF5B6E"/>
    <w:rsid w:val="00AF7744"/>
    <w:rsid w:val="00B02CAC"/>
    <w:rsid w:val="00B036F8"/>
    <w:rsid w:val="00B057CB"/>
    <w:rsid w:val="00B05E6D"/>
    <w:rsid w:val="00B10136"/>
    <w:rsid w:val="00B128A6"/>
    <w:rsid w:val="00B12CBD"/>
    <w:rsid w:val="00B320DC"/>
    <w:rsid w:val="00B3268E"/>
    <w:rsid w:val="00B35A8E"/>
    <w:rsid w:val="00B4014F"/>
    <w:rsid w:val="00B43F40"/>
    <w:rsid w:val="00B45635"/>
    <w:rsid w:val="00B45A79"/>
    <w:rsid w:val="00B52044"/>
    <w:rsid w:val="00B52063"/>
    <w:rsid w:val="00B53898"/>
    <w:rsid w:val="00B539A1"/>
    <w:rsid w:val="00B53A32"/>
    <w:rsid w:val="00B53C15"/>
    <w:rsid w:val="00B5624F"/>
    <w:rsid w:val="00B562DD"/>
    <w:rsid w:val="00B5701B"/>
    <w:rsid w:val="00B615CC"/>
    <w:rsid w:val="00B6291B"/>
    <w:rsid w:val="00B7023F"/>
    <w:rsid w:val="00B708FB"/>
    <w:rsid w:val="00B74667"/>
    <w:rsid w:val="00B7491A"/>
    <w:rsid w:val="00B7630C"/>
    <w:rsid w:val="00B81C73"/>
    <w:rsid w:val="00B81F70"/>
    <w:rsid w:val="00B82B8A"/>
    <w:rsid w:val="00B85DF4"/>
    <w:rsid w:val="00B86694"/>
    <w:rsid w:val="00B927C9"/>
    <w:rsid w:val="00B9451F"/>
    <w:rsid w:val="00BA1341"/>
    <w:rsid w:val="00BA67D0"/>
    <w:rsid w:val="00BB1762"/>
    <w:rsid w:val="00BB32F0"/>
    <w:rsid w:val="00BB3DE9"/>
    <w:rsid w:val="00BB473F"/>
    <w:rsid w:val="00BC05A6"/>
    <w:rsid w:val="00BC0C56"/>
    <w:rsid w:val="00BC10C2"/>
    <w:rsid w:val="00BC1CFB"/>
    <w:rsid w:val="00BC6FE3"/>
    <w:rsid w:val="00BC73ED"/>
    <w:rsid w:val="00BD10A6"/>
    <w:rsid w:val="00BD22CE"/>
    <w:rsid w:val="00BD2399"/>
    <w:rsid w:val="00BD2C86"/>
    <w:rsid w:val="00BD3E31"/>
    <w:rsid w:val="00BD4335"/>
    <w:rsid w:val="00BD500A"/>
    <w:rsid w:val="00BD78DB"/>
    <w:rsid w:val="00BE4349"/>
    <w:rsid w:val="00BE4BC2"/>
    <w:rsid w:val="00BE50AA"/>
    <w:rsid w:val="00BE56D0"/>
    <w:rsid w:val="00BE7316"/>
    <w:rsid w:val="00BE7C55"/>
    <w:rsid w:val="00BF00E3"/>
    <w:rsid w:val="00BF0C5F"/>
    <w:rsid w:val="00BF15F9"/>
    <w:rsid w:val="00BF329F"/>
    <w:rsid w:val="00BF42D5"/>
    <w:rsid w:val="00BF4DA1"/>
    <w:rsid w:val="00BF4EEF"/>
    <w:rsid w:val="00C07E01"/>
    <w:rsid w:val="00C10827"/>
    <w:rsid w:val="00C11964"/>
    <w:rsid w:val="00C13AFC"/>
    <w:rsid w:val="00C14277"/>
    <w:rsid w:val="00C22C46"/>
    <w:rsid w:val="00C236F4"/>
    <w:rsid w:val="00C25E26"/>
    <w:rsid w:val="00C3182A"/>
    <w:rsid w:val="00C31A20"/>
    <w:rsid w:val="00C328D1"/>
    <w:rsid w:val="00C3321C"/>
    <w:rsid w:val="00C33F33"/>
    <w:rsid w:val="00C345E1"/>
    <w:rsid w:val="00C356E8"/>
    <w:rsid w:val="00C35840"/>
    <w:rsid w:val="00C35A97"/>
    <w:rsid w:val="00C40943"/>
    <w:rsid w:val="00C4569B"/>
    <w:rsid w:val="00C471ED"/>
    <w:rsid w:val="00C5056D"/>
    <w:rsid w:val="00C50F95"/>
    <w:rsid w:val="00C5414E"/>
    <w:rsid w:val="00C607C9"/>
    <w:rsid w:val="00C64B15"/>
    <w:rsid w:val="00C65823"/>
    <w:rsid w:val="00C66FC4"/>
    <w:rsid w:val="00C67F24"/>
    <w:rsid w:val="00C72782"/>
    <w:rsid w:val="00C730A2"/>
    <w:rsid w:val="00C73E6F"/>
    <w:rsid w:val="00C75154"/>
    <w:rsid w:val="00C76D9F"/>
    <w:rsid w:val="00C77978"/>
    <w:rsid w:val="00C80BD9"/>
    <w:rsid w:val="00C8353B"/>
    <w:rsid w:val="00C83898"/>
    <w:rsid w:val="00C84998"/>
    <w:rsid w:val="00C867BC"/>
    <w:rsid w:val="00C924ED"/>
    <w:rsid w:val="00C93823"/>
    <w:rsid w:val="00C94C69"/>
    <w:rsid w:val="00C94E7B"/>
    <w:rsid w:val="00C954D7"/>
    <w:rsid w:val="00CA02C6"/>
    <w:rsid w:val="00CA0C76"/>
    <w:rsid w:val="00CA0EB9"/>
    <w:rsid w:val="00CA136E"/>
    <w:rsid w:val="00CA2BEE"/>
    <w:rsid w:val="00CA3E8B"/>
    <w:rsid w:val="00CA4EA1"/>
    <w:rsid w:val="00CA587F"/>
    <w:rsid w:val="00CA6F12"/>
    <w:rsid w:val="00CA75DC"/>
    <w:rsid w:val="00CA7800"/>
    <w:rsid w:val="00CA7D25"/>
    <w:rsid w:val="00CB2A38"/>
    <w:rsid w:val="00CB5D46"/>
    <w:rsid w:val="00CB5E98"/>
    <w:rsid w:val="00CB6330"/>
    <w:rsid w:val="00CC0C7A"/>
    <w:rsid w:val="00CC2FE8"/>
    <w:rsid w:val="00CC39D2"/>
    <w:rsid w:val="00CC7FC5"/>
    <w:rsid w:val="00CD4346"/>
    <w:rsid w:val="00CD70EB"/>
    <w:rsid w:val="00CD719F"/>
    <w:rsid w:val="00CD7D5E"/>
    <w:rsid w:val="00CE19AC"/>
    <w:rsid w:val="00CE30C5"/>
    <w:rsid w:val="00CE5938"/>
    <w:rsid w:val="00CE6A89"/>
    <w:rsid w:val="00CE7F33"/>
    <w:rsid w:val="00CF2531"/>
    <w:rsid w:val="00CF549A"/>
    <w:rsid w:val="00D00AC3"/>
    <w:rsid w:val="00D0327C"/>
    <w:rsid w:val="00D03C41"/>
    <w:rsid w:val="00D057A6"/>
    <w:rsid w:val="00D06875"/>
    <w:rsid w:val="00D07265"/>
    <w:rsid w:val="00D122BE"/>
    <w:rsid w:val="00D12FD8"/>
    <w:rsid w:val="00D1342E"/>
    <w:rsid w:val="00D1530C"/>
    <w:rsid w:val="00D1613E"/>
    <w:rsid w:val="00D20C24"/>
    <w:rsid w:val="00D22230"/>
    <w:rsid w:val="00D22CEB"/>
    <w:rsid w:val="00D253BF"/>
    <w:rsid w:val="00D3131F"/>
    <w:rsid w:val="00D31789"/>
    <w:rsid w:val="00D3397C"/>
    <w:rsid w:val="00D349D1"/>
    <w:rsid w:val="00D34E70"/>
    <w:rsid w:val="00D35A55"/>
    <w:rsid w:val="00D35D07"/>
    <w:rsid w:val="00D363E8"/>
    <w:rsid w:val="00D3651A"/>
    <w:rsid w:val="00D36FC3"/>
    <w:rsid w:val="00D4084D"/>
    <w:rsid w:val="00D41486"/>
    <w:rsid w:val="00D4173D"/>
    <w:rsid w:val="00D42CA7"/>
    <w:rsid w:val="00D436E1"/>
    <w:rsid w:val="00D46846"/>
    <w:rsid w:val="00D47ED1"/>
    <w:rsid w:val="00D50089"/>
    <w:rsid w:val="00D519F7"/>
    <w:rsid w:val="00D54568"/>
    <w:rsid w:val="00D55589"/>
    <w:rsid w:val="00D620D5"/>
    <w:rsid w:val="00D630E4"/>
    <w:rsid w:val="00D635CE"/>
    <w:rsid w:val="00D63847"/>
    <w:rsid w:val="00D7092D"/>
    <w:rsid w:val="00D726B0"/>
    <w:rsid w:val="00D80A98"/>
    <w:rsid w:val="00D850CE"/>
    <w:rsid w:val="00D8769C"/>
    <w:rsid w:val="00D87EE8"/>
    <w:rsid w:val="00D90F5D"/>
    <w:rsid w:val="00D91047"/>
    <w:rsid w:val="00D93A95"/>
    <w:rsid w:val="00DA0B1F"/>
    <w:rsid w:val="00DA31E2"/>
    <w:rsid w:val="00DA4B02"/>
    <w:rsid w:val="00DA5836"/>
    <w:rsid w:val="00DA5D86"/>
    <w:rsid w:val="00DA5F89"/>
    <w:rsid w:val="00DA6586"/>
    <w:rsid w:val="00DA6C89"/>
    <w:rsid w:val="00DB05AE"/>
    <w:rsid w:val="00DB118D"/>
    <w:rsid w:val="00DB4413"/>
    <w:rsid w:val="00DB5096"/>
    <w:rsid w:val="00DC25CD"/>
    <w:rsid w:val="00DC3562"/>
    <w:rsid w:val="00DC3ADD"/>
    <w:rsid w:val="00DC3EEC"/>
    <w:rsid w:val="00DC418C"/>
    <w:rsid w:val="00DD269D"/>
    <w:rsid w:val="00DD4698"/>
    <w:rsid w:val="00DD5E1F"/>
    <w:rsid w:val="00DD69F5"/>
    <w:rsid w:val="00DD7C82"/>
    <w:rsid w:val="00DE1518"/>
    <w:rsid w:val="00DE2088"/>
    <w:rsid w:val="00DE2386"/>
    <w:rsid w:val="00DE4084"/>
    <w:rsid w:val="00DE6A97"/>
    <w:rsid w:val="00DF184E"/>
    <w:rsid w:val="00DF268B"/>
    <w:rsid w:val="00DF3AFE"/>
    <w:rsid w:val="00DF3C48"/>
    <w:rsid w:val="00DF53BE"/>
    <w:rsid w:val="00DF6863"/>
    <w:rsid w:val="00E009B3"/>
    <w:rsid w:val="00E02F60"/>
    <w:rsid w:val="00E068E3"/>
    <w:rsid w:val="00E070F1"/>
    <w:rsid w:val="00E07BA5"/>
    <w:rsid w:val="00E10A8C"/>
    <w:rsid w:val="00E1701D"/>
    <w:rsid w:val="00E174D2"/>
    <w:rsid w:val="00E20E29"/>
    <w:rsid w:val="00E221D1"/>
    <w:rsid w:val="00E24ABC"/>
    <w:rsid w:val="00E24BDF"/>
    <w:rsid w:val="00E25A24"/>
    <w:rsid w:val="00E25EDC"/>
    <w:rsid w:val="00E26639"/>
    <w:rsid w:val="00E26B1D"/>
    <w:rsid w:val="00E270F6"/>
    <w:rsid w:val="00E2789D"/>
    <w:rsid w:val="00E37A5B"/>
    <w:rsid w:val="00E40304"/>
    <w:rsid w:val="00E40A1A"/>
    <w:rsid w:val="00E4135E"/>
    <w:rsid w:val="00E41BB9"/>
    <w:rsid w:val="00E4348E"/>
    <w:rsid w:val="00E50A06"/>
    <w:rsid w:val="00E50B68"/>
    <w:rsid w:val="00E510C9"/>
    <w:rsid w:val="00E52449"/>
    <w:rsid w:val="00E55638"/>
    <w:rsid w:val="00E55C4A"/>
    <w:rsid w:val="00E579F6"/>
    <w:rsid w:val="00E6212D"/>
    <w:rsid w:val="00E623F6"/>
    <w:rsid w:val="00E666BF"/>
    <w:rsid w:val="00E6754D"/>
    <w:rsid w:val="00E70072"/>
    <w:rsid w:val="00E70BE7"/>
    <w:rsid w:val="00E74111"/>
    <w:rsid w:val="00E77509"/>
    <w:rsid w:val="00E812FF"/>
    <w:rsid w:val="00E81739"/>
    <w:rsid w:val="00E82BDD"/>
    <w:rsid w:val="00E844CC"/>
    <w:rsid w:val="00E85020"/>
    <w:rsid w:val="00E855A5"/>
    <w:rsid w:val="00E859C5"/>
    <w:rsid w:val="00E87064"/>
    <w:rsid w:val="00E91400"/>
    <w:rsid w:val="00E94870"/>
    <w:rsid w:val="00E9544C"/>
    <w:rsid w:val="00E97DB3"/>
    <w:rsid w:val="00EA1C2B"/>
    <w:rsid w:val="00EA2475"/>
    <w:rsid w:val="00EA3F0B"/>
    <w:rsid w:val="00EA4674"/>
    <w:rsid w:val="00EA4BC8"/>
    <w:rsid w:val="00EA632D"/>
    <w:rsid w:val="00EA7F51"/>
    <w:rsid w:val="00EB1FF2"/>
    <w:rsid w:val="00EB32BB"/>
    <w:rsid w:val="00EB362B"/>
    <w:rsid w:val="00EB5FE7"/>
    <w:rsid w:val="00EC3B74"/>
    <w:rsid w:val="00EC647D"/>
    <w:rsid w:val="00EC6C64"/>
    <w:rsid w:val="00ED0E84"/>
    <w:rsid w:val="00ED6C9B"/>
    <w:rsid w:val="00EE1190"/>
    <w:rsid w:val="00EE2334"/>
    <w:rsid w:val="00EE2569"/>
    <w:rsid w:val="00EE3B48"/>
    <w:rsid w:val="00EE4519"/>
    <w:rsid w:val="00EE5CD9"/>
    <w:rsid w:val="00EF0CE5"/>
    <w:rsid w:val="00EF49F2"/>
    <w:rsid w:val="00EF6CC8"/>
    <w:rsid w:val="00EF789C"/>
    <w:rsid w:val="00F007A0"/>
    <w:rsid w:val="00F02373"/>
    <w:rsid w:val="00F1043A"/>
    <w:rsid w:val="00F10E14"/>
    <w:rsid w:val="00F1132A"/>
    <w:rsid w:val="00F1175C"/>
    <w:rsid w:val="00F11F92"/>
    <w:rsid w:val="00F14070"/>
    <w:rsid w:val="00F14A61"/>
    <w:rsid w:val="00F14EC4"/>
    <w:rsid w:val="00F154F4"/>
    <w:rsid w:val="00F15BB7"/>
    <w:rsid w:val="00F16258"/>
    <w:rsid w:val="00F17AE5"/>
    <w:rsid w:val="00F17B9C"/>
    <w:rsid w:val="00F20A95"/>
    <w:rsid w:val="00F20FAB"/>
    <w:rsid w:val="00F212C1"/>
    <w:rsid w:val="00F22135"/>
    <w:rsid w:val="00F306DA"/>
    <w:rsid w:val="00F32D37"/>
    <w:rsid w:val="00F35FA1"/>
    <w:rsid w:val="00F42F29"/>
    <w:rsid w:val="00F4356A"/>
    <w:rsid w:val="00F450E7"/>
    <w:rsid w:val="00F46BE3"/>
    <w:rsid w:val="00F47F8E"/>
    <w:rsid w:val="00F504AF"/>
    <w:rsid w:val="00F50C02"/>
    <w:rsid w:val="00F511D1"/>
    <w:rsid w:val="00F51FCB"/>
    <w:rsid w:val="00F535CA"/>
    <w:rsid w:val="00F57A16"/>
    <w:rsid w:val="00F6051F"/>
    <w:rsid w:val="00F61549"/>
    <w:rsid w:val="00F62E4B"/>
    <w:rsid w:val="00F647E6"/>
    <w:rsid w:val="00F726D8"/>
    <w:rsid w:val="00F73345"/>
    <w:rsid w:val="00F73FD6"/>
    <w:rsid w:val="00F751E8"/>
    <w:rsid w:val="00F7701C"/>
    <w:rsid w:val="00F770DC"/>
    <w:rsid w:val="00F80207"/>
    <w:rsid w:val="00F80510"/>
    <w:rsid w:val="00F81314"/>
    <w:rsid w:val="00F847DE"/>
    <w:rsid w:val="00F85A04"/>
    <w:rsid w:val="00F91525"/>
    <w:rsid w:val="00F93B70"/>
    <w:rsid w:val="00F940B1"/>
    <w:rsid w:val="00F94961"/>
    <w:rsid w:val="00F94F85"/>
    <w:rsid w:val="00F962B5"/>
    <w:rsid w:val="00F97791"/>
    <w:rsid w:val="00FA22E9"/>
    <w:rsid w:val="00FA4B61"/>
    <w:rsid w:val="00FA4EBA"/>
    <w:rsid w:val="00FA5738"/>
    <w:rsid w:val="00FB2C74"/>
    <w:rsid w:val="00FB3016"/>
    <w:rsid w:val="00FB3A3F"/>
    <w:rsid w:val="00FB44B2"/>
    <w:rsid w:val="00FB5C1C"/>
    <w:rsid w:val="00FB71C1"/>
    <w:rsid w:val="00FC1065"/>
    <w:rsid w:val="00FC56F8"/>
    <w:rsid w:val="00FC7E97"/>
    <w:rsid w:val="00FD0418"/>
    <w:rsid w:val="00FD29A2"/>
    <w:rsid w:val="00FD2BFB"/>
    <w:rsid w:val="00FD32A2"/>
    <w:rsid w:val="00FD4400"/>
    <w:rsid w:val="00FD60CA"/>
    <w:rsid w:val="00FE004A"/>
    <w:rsid w:val="00FE1B05"/>
    <w:rsid w:val="00FE3169"/>
    <w:rsid w:val="00FE4A41"/>
    <w:rsid w:val="00FE4C2F"/>
    <w:rsid w:val="00FF252A"/>
    <w:rsid w:val="00FF48CF"/>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D72799B"/>
  <w15:docId w15:val="{6143EA39-8505-43A1-8483-174F8AC8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3B615E"/>
    <w:pPr>
      <w:numPr>
        <w:ilvl w:val="1"/>
        <w:numId w:val="36"/>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3B615E"/>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3B615E"/>
    <w:pPr>
      <w:numPr>
        <w:ilvl w:val="0"/>
        <w:numId w:val="36"/>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3B61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615E"/>
    <w:rPr>
      <w:rFonts w:asciiTheme="minorHAnsi" w:eastAsiaTheme="minorEastAsia" w:hAnsiTheme="minorHAnsi" w:cstheme="minorBidi"/>
      <w:color w:val="5A5A5A" w:themeColor="text1" w:themeTint="A5"/>
      <w:spacing w:val="15"/>
      <w:sz w:val="22"/>
      <w:szCs w:val="22"/>
    </w:rPr>
  </w:style>
  <w:style w:type="paragraph" w:styleId="FootnoteText">
    <w:name w:val="footnote text"/>
    <w:basedOn w:val="Normal"/>
    <w:link w:val="FootnoteTextChar"/>
    <w:semiHidden/>
    <w:unhideWhenUsed/>
    <w:rsid w:val="004E5B3F"/>
    <w:pPr>
      <w:spacing w:before="0" w:after="0" w:line="240" w:lineRule="auto"/>
    </w:pPr>
    <w:rPr>
      <w:szCs w:val="20"/>
    </w:rPr>
  </w:style>
  <w:style w:type="character" w:customStyle="1" w:styleId="FootnoteTextChar">
    <w:name w:val="Footnote Text Char"/>
    <w:basedOn w:val="DefaultParagraphFont"/>
    <w:link w:val="FootnoteText"/>
    <w:semiHidden/>
    <w:rsid w:val="004E5B3F"/>
    <w:rPr>
      <w:rFonts w:ascii="Arial" w:eastAsia="Times New Roman" w:hAnsi="Arial"/>
    </w:rPr>
  </w:style>
  <w:style w:type="character" w:styleId="FootnoteReference">
    <w:name w:val="footnote reference"/>
    <w:basedOn w:val="DefaultParagraphFont"/>
    <w:semiHidden/>
    <w:unhideWhenUsed/>
    <w:rsid w:val="004E5B3F"/>
    <w:rPr>
      <w:vertAlign w:val="superscript"/>
    </w:rPr>
  </w:style>
  <w:style w:type="table" w:styleId="ListTable1Light">
    <w:name w:val="List Table 1 Light"/>
    <w:basedOn w:val="TableNormal"/>
    <w:uiPriority w:val="46"/>
    <w:rsid w:val="0046735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C3584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0183">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673711">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45036773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04799264">
      <w:bodyDiv w:val="1"/>
      <w:marLeft w:val="0"/>
      <w:marRight w:val="0"/>
      <w:marTop w:val="0"/>
      <w:marBottom w:val="0"/>
      <w:divBdr>
        <w:top w:val="none" w:sz="0" w:space="0" w:color="auto"/>
        <w:left w:val="none" w:sz="0" w:space="0" w:color="auto"/>
        <w:bottom w:val="none" w:sz="0" w:space="0" w:color="auto"/>
        <w:right w:val="none" w:sz="0" w:space="0" w:color="auto"/>
      </w:divBdr>
    </w:div>
    <w:div w:id="1403794933">
      <w:bodyDiv w:val="1"/>
      <w:marLeft w:val="0"/>
      <w:marRight w:val="0"/>
      <w:marTop w:val="0"/>
      <w:marBottom w:val="0"/>
      <w:divBdr>
        <w:top w:val="none" w:sz="0" w:space="0" w:color="auto"/>
        <w:left w:val="none" w:sz="0" w:space="0" w:color="auto"/>
        <w:bottom w:val="none" w:sz="0" w:space="0" w:color="auto"/>
        <w:right w:val="none" w:sz="0" w:space="0" w:color="auto"/>
      </w:divBdr>
    </w:div>
    <w:div w:id="1648779818">
      <w:bodyDiv w:val="1"/>
      <w:marLeft w:val="0"/>
      <w:marRight w:val="0"/>
      <w:marTop w:val="0"/>
      <w:marBottom w:val="0"/>
      <w:divBdr>
        <w:top w:val="none" w:sz="0" w:space="0" w:color="auto"/>
        <w:left w:val="none" w:sz="0" w:space="0" w:color="auto"/>
        <w:bottom w:val="none" w:sz="0" w:space="0" w:color="auto"/>
        <w:right w:val="none" w:sz="0" w:space="0" w:color="auto"/>
      </w:divBdr>
    </w:div>
    <w:div w:id="1940484174">
      <w:bodyDiv w:val="1"/>
      <w:marLeft w:val="0"/>
      <w:marRight w:val="0"/>
      <w:marTop w:val="0"/>
      <w:marBottom w:val="0"/>
      <w:divBdr>
        <w:top w:val="none" w:sz="0" w:space="0" w:color="auto"/>
        <w:left w:val="none" w:sz="0" w:space="0" w:color="auto"/>
        <w:bottom w:val="none" w:sz="0" w:space="0" w:color="auto"/>
        <w:right w:val="none" w:sz="0" w:space="0" w:color="auto"/>
      </w:divBdr>
    </w:div>
    <w:div w:id="197802498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ofgem.gov.uk/publications-and-updates/reform-electricity-network-access-and-forward-looking-charges-working-paper?utm_source=Charging+Futures+-+electricity+transmission+and+distribution+network+users&amp;utm_campaign=2f885c10c9-CHARGING_FUTURES_2017_10_27&amp;utm_medium=email&amp;utm_term=0_f46a3d5be7-2f885c10c9-57611081&amp;mc_cid=2f885c10c9&amp;mc_eid=77f463bb3c"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ofgem.gov.uk/publications-and-updates/targeted-charging-review-update-approach-reviewing-residual-charging-arrangements?utm_source=Charging+Futures+-+electricity+transmission+and+distribution+network+users&amp;utm_campaign=2f885c10c9-CHARGING_FUTURES_2017_10_27&amp;utm_medium=email&amp;utm_term=0_f46a3d5be7-2f885c10c9-57611081&amp;mc_cid=2f885c10c9&amp;mc_eid=77f463bb3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jpeg"/><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dcusa.co.uk"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comments" Target="comments.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Information" ma:contentTypeID="0x01010033282546F0D44441B574BEAA5FBE93E4002B3257BACE968241912BFE9EB8BD18C2" ma:contentTypeVersion="2" ma:contentTypeDescription="" ma:contentTypeScope="" ma:versionID="ea3195f05da284f35ac85b5ad500b69f">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3079469c92d2de1bb2af4ec2a488c285"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CC"/>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ma:readOnly="false">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ma:displayName="Status" ma:default="Draft" ma:description="Choose the appropriate status from the drop-down" ma:format="Dropdown" ma:internalName="_Status" ma:readOnly="false">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axOccurs="1" ma:displayName="Status">
          <xsd:simpleType xmlns:xs="http://www.w3.org/2001/XMLSchema">
            <xsd:restriction base="xsd:string">
              <xsd:minLength value="1"/>
            </xsd:restriction>
          </xsd:simpleType>
        </xsd:elemen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Draft</_Status>
    <Descriptor xmlns="631298fc-6a88-4548-b7d9-3b164918c4a3" xsi:nil="true"/>
    <_x003a_ xmlns="631298fc-6a88-4548-b7d9-3b164918c4a3" xsi:nil="true"/>
    <Classification xmlns="631298fc-6a88-4548-b7d9-3b164918c4a3">Unclassified</Classification>
    <_x003a__x003a_ xmlns="631298fc-6a88-4548-b7d9-3b164918c4a3">-Main Document</_x003a__x003a_>
    <Organisation xmlns="631298fc-6a88-4548-b7d9-3b164918c4a3">Choose an Organisation</Organisation>
  </documentManagement>
</p:properties>
</file>

<file path=customXml/item3.xml><?xml version="1.0" encoding="utf-8"?>
<sisl xmlns:xsi="http://www.w3.org/2001/XMLSchema-instance" xmlns:xsd="http://www.w3.org/2001/XMLSchema" xmlns="http://www.boldonjames.com/2008/01/sie/internal/label" sislVersion="0" policy="973096ae-7329-4b3b-9368-47aeba6959e1"/>
</file>

<file path=customXml/item4.xml><?xml version="1.0" encoding="utf-8"?>
<?mso-contentType ?>
<SharedContentType xmlns="Microsoft.SharePoint.Taxonomy.ContentTypeSync" SourceId="69773578-b348-4185-91b0-0c3a7eda8d2a" ContentTypeId="0x01010033282546F0D44441B574BEAA5FBE93E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6B431-8020-4C75-9AF2-D5110C322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534278-1E11-4E11-BFCA-2539B4DD1CA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sharepoint/v3/fields"/>
    <ds:schemaRef ds:uri="http://schemas.microsoft.com/office/2006/metadata/properties"/>
    <ds:schemaRef ds:uri="631298fc-6a88-4548-b7d9-3b164918c4a3"/>
    <ds:schemaRef ds:uri="http://www.w3.org/XML/1998/namespace"/>
    <ds:schemaRef ds:uri="http://purl.org/dc/dcmitype/"/>
  </ds:schemaRefs>
</ds:datastoreItem>
</file>

<file path=customXml/itemProps3.xml><?xml version="1.0" encoding="utf-8"?>
<ds:datastoreItem xmlns:ds="http://schemas.openxmlformats.org/officeDocument/2006/customXml" ds:itemID="{129355E3-717D-4F8F-8E75-41C4DAA08C65}">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10033235-B48E-4EBD-8AD4-BDDB7785DD71}">
  <ds:schemaRefs>
    <ds:schemaRef ds:uri="Microsoft.SharePoint.Taxonomy.ContentTypeSync"/>
  </ds:schemaRefs>
</ds:datastoreItem>
</file>

<file path=customXml/itemProps5.xml><?xml version="1.0" encoding="utf-8"?>
<ds:datastoreItem xmlns:ds="http://schemas.openxmlformats.org/officeDocument/2006/customXml" ds:itemID="{89841832-C4A4-4129-B8FE-006A22666741}">
  <ds:schemaRefs>
    <ds:schemaRef ds:uri="http://schemas.microsoft.com/sharepoint/v3/contenttype/forms"/>
  </ds:schemaRefs>
</ds:datastoreItem>
</file>

<file path=customXml/itemProps6.xml><?xml version="1.0" encoding="utf-8"?>
<ds:datastoreItem xmlns:ds="http://schemas.openxmlformats.org/officeDocument/2006/customXml" ds:itemID="{572D111F-65EB-4F75-8D82-B1F2798F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3393</Words>
  <Characters>19342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22690</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Hollie Nicholls</cp:lastModifiedBy>
  <cp:revision>3</cp:revision>
  <cp:lastPrinted>2017-09-18T12:15:00Z</cp:lastPrinted>
  <dcterms:created xsi:type="dcterms:W3CDTF">2017-12-07T15:42:00Z</dcterms:created>
  <dcterms:modified xsi:type="dcterms:W3CDTF">2017-12-08T15:04:00Z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204bff1d-6644-483e-b76b-843ec8e10205</vt:lpwstr>
  </property>
  <property fmtid="{D5CDD505-2E9C-101B-9397-08002B2CF9AE}" pid="3" name="bjSaver">
    <vt:lpwstr>TVo/Hsn6gJtZJc254ngPP/4dQ/fNHcFB</vt:lpwstr>
  </property>
  <property fmtid="{D5CDD505-2E9C-101B-9397-08002B2CF9AE}" pid="4" name="ContentTypeId">
    <vt:lpwstr>0x01010033282546F0D44441B574BEAA5FBE93E4002B3257BACE968241912BFE9EB8BD18C2</vt:lpwstr>
  </property>
  <property fmtid="{D5CDD505-2E9C-101B-9397-08002B2CF9AE}" pid="5" name="bjDocumentSecurityLabel">
    <vt:lpwstr>This item has no classification</vt:lpwstr>
  </property>
</Properties>
</file>